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OKC ComunnityNet</w:t>
      </w:r>
    </w:p>
    <w:p>
      <w:pPr>
        <w:pStyle w:val="Subtitle"/>
      </w:pPr>
      <w:r>
        <w:t>Project Roadmap</w:t>
      </w:r>
    </w:p>
    <w:p>
      <w:r>
        <w:t>Execution baseline for a decentralized Oklahoma City neighborhood BBS federation</w:t>
      </w:r>
    </w:p>
    <w:p>
      <w:r>
        <w:t>20 October 2026  |  Roadmap v1.0  |  Status Planned  |  Architecture v0.2 for validation</w:t>
      </w:r>
    </w:p>
    <w:p>
      <w:pPr>
        <w:pStyle w:val="Heading2"/>
      </w:pPr>
      <w:r>
        <w:t>Purpose and operating rule</w:t>
      </w:r>
    </w:p>
    <w:p>
      <w:r>
        <w:t>Use this roadmap to move from a three node lab to a permissioned field pilot and then staged citywide expansion. A working local BBS comes first. Broadband federation, short radio messaging, and optional Reticulum services each earn deployment through measured tests. Every architecture choice, estimate, and target below remains proposed until its evidence gate is accepted.</w:t>
      </w:r>
    </w:p>
    <w:p>
      <w:pPr>
        <w:pStyle w:val="Heading2"/>
      </w:pPr>
      <w:r>
        <w:t>Ownership</w:t>
      </w:r>
    </w:p>
    <w:tbl>
      <w:tblPr>
        <w:tblW w:type="auto" w:w="0"/>
        <w:tblLayout w:type="fixed"/>
        <w:tblLook w:firstColumn="1" w:firstRow="1" w:lastColumn="0" w:lastRow="0" w:noHBand="0" w:noVBand="1" w:val="04A0"/>
      </w:tblPr>
      <w:tblGrid>
        <w:gridCol w:w="2232"/>
        <w:gridCol w:w="4608"/>
        <w:gridCol w:w="2808"/>
      </w:tblGrid>
      <w:tr>
        <w:trPr>
          <w:cantSplit/>
          <w:tblHeader/>
        </w:trPr>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Role</w:t>
            </w:r>
          </w:p>
        </w:tc>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Accountable work</w:t>
            </w:r>
          </w:p>
        </w:tc>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Handoffs</w:t>
            </w:r>
          </w:p>
        </w:tc>
      </w:tr>
      <w:tr>
        <w:trPr>
          <w:cantSplit/>
        </w:trPr>
        <w:tc>
          <w:tcPr>
            <w:tcW w:type="dxa" w:w="223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HN</w:t>
              <w:br/>
              <w:t>Hardware and networking specialist</w:t>
            </w:r>
          </w:p>
        </w:tc>
        <w:tc>
          <w:tcPr>
            <w:tcW w:type="dxa" w:w="460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BOM, site surveys, power, antennas, cabling, routed IP, firewall boundaries, RF measurements and safe installation</w:t>
            </w:r>
          </w:p>
        </w:tc>
        <w:tc>
          <w:tcPr>
            <w:tcW w:type="dxa" w:w="280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Provides stable links, inventories and recovery access to SE; trains G on physical checks.</w:t>
            </w:r>
          </w:p>
        </w:tc>
      </w:tr>
      <w:tr>
        <w:trPr>
          <w:cantSplit/>
        </w:trPr>
        <w:tc>
          <w:tcPr>
            <w:tcW w:type="dxa" w:w="2232"/>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SE</w:t>
              <w:br/>
              <w:t>Software engineer</w:t>
            </w:r>
          </w:p>
        </w:tc>
        <w:tc>
          <w:tcPr>
            <w:tcW w:type="dxa" w:w="460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OS image, BBS build, federation configuration, gateway adapters, queue durability, security, backups and observability</w:t>
            </w:r>
          </w:p>
        </w:tc>
        <w:tc>
          <w:tcPr>
            <w:tcW w:type="dxa" w:w="280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Provides reproducible images, test results and operator runbooks to HN and G.</w:t>
            </w:r>
          </w:p>
        </w:tc>
      </w:tr>
      <w:tr>
        <w:trPr>
          <w:cantSplit/>
        </w:trPr>
        <w:tc>
          <w:tcPr>
            <w:tcW w:type="dxa" w:w="223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G</w:t>
              <w:br/>
              <w:t>Generalist with classic BBS and FidoNet expertise</w:t>
            </w:r>
          </w:p>
        </w:tc>
        <w:tc>
          <w:tcPr>
            <w:tcW w:type="dxa" w:w="460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Charter, resident workflows, boards, private FTN conventions, moderation, sysop training, host coordination and acceptance records</w:t>
            </w:r>
          </w:p>
        </w:tc>
        <w:tc>
          <w:tcPr>
            <w:tcW w:type="dxa" w:w="280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Validates BBS behavior and identity conventions with SE; obtains site consent for HN.</w:t>
            </w:r>
          </w:p>
        </w:tc>
      </w:tr>
    </w:tbl>
    <w:p>
      <w:pPr>
        <w:spacing w:after="20"/>
      </w:pPr>
    </w:p>
    <w:p>
      <w:r>
        <w:t>Each task has one accountable owner; collaborators review their own domain. Assign actual people and backup operators in task R01. G maintains the roadmap, meeting notes, and decisions; all three roles sign each phase gate. Hosts approve installations and local policies. This assigns functions, not named staff or guaranteed availability.</w:t>
      </w:r>
    </w:p>
    <w:p>
      <w:pPr>
        <w:pStyle w:val="Heading2"/>
      </w:pPr>
      <w:r>
        <w:t>Capacity and schedule assumptions</w:t>
      </w:r>
    </w:p>
    <w:p>
      <w:r>
        <w:t>Target capacity is 12–16 hours per week per role. Weeks are relative to an agreed kickoff, not calendar commitments. First two weeks cover discovery, twelve weeks cover the lab, and twelve weeks cover field preparation plus a 30 day observation period. Site access, volunteer availability, shipping, and failed tests can extend these windows. Rebaseline explicitly rather than dropping acceptance tests.</w:t>
      </w:r>
    </w:p>
    <w:p>
      <w:pPr>
        <w:pStyle w:val="Heading2"/>
      </w:pPr>
      <w:r>
        <w:t>Current next actions</w:t>
      </w:r>
    </w:p>
    <w:p>
      <w:r>
        <w:t>Begin R01–R04. Spend only within an agreed lab cap after R05. Run the minimum BBS federation before optional Reticulum or outbound radio gateway work. Reticulum failure does not block a BBS only pilot unless residents make that service a formal requirement.</w:t>
      </w:r>
    </w:p>
    <w:p>
      <w:r>
        <w:br w:type="page"/>
      </w:r>
    </w:p>
    <w:p>
      <w:pPr>
        <w:pStyle w:val="Heading1"/>
      </w:pPr>
      <w:r>
        <w:t>Milestones and phase gates</w:t>
      </w:r>
    </w:p>
    <w:tbl>
      <w:tblPr>
        <w:tblW w:type="auto" w:w="0"/>
        <w:tblLayout w:type="fixed"/>
        <w:tblLook w:firstColumn="1" w:firstRow="1" w:lastColumn="0" w:lastRow="0" w:noHBand="0" w:noVBand="1" w:val="04A0"/>
      </w:tblPr>
      <w:tblGrid>
        <w:gridCol w:w="1800"/>
        <w:gridCol w:w="5832"/>
        <w:gridCol w:w="2016"/>
      </w:tblGrid>
      <w:tr>
        <w:trPr>
          <w:cantSplit/>
          <w:tblHeader/>
        </w:trPr>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Gate and target</w:t>
            </w:r>
          </w:p>
        </w:tc>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Required evidence</w:t>
            </w:r>
          </w:p>
        </w:tc>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Authority and dependency</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G0</w:t>
              <w:br/>
              <w:t>End week 2</w:t>
              <w:br/>
              <w:t>Design ready</w:t>
            </w:r>
          </w:p>
        </w:tc>
        <w:tc>
          <w:tcPr>
            <w:tcW w:type="dxa" w:w="583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Role assignments; scope and charter draft; three hub IDs; host candidates; collision checked address plan; vendor quotes and lab spending cap; test matrix</w:t>
            </w:r>
          </w:p>
        </w:tc>
        <w:tc>
          <w:tcPr>
            <w:tcW w:type="dxa" w:w="201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HN SE G accept. No rooftop work authorized by this gate. R01–R05 complete.</w:t>
            </w:r>
          </w:p>
        </w:tc>
      </w:tr>
      <w:tr>
        <w:trPr>
          <w:cantSplit/>
        </w:trPr>
        <w:tc>
          <w:tcPr>
            <w:tcW w:type="dxa" w:w="180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G1</w:t>
              <w:br/>
              <w:t>End week 14</w:t>
              <w:br/>
              <w:t>Lab ready</w:t>
            </w:r>
          </w:p>
        </w:tc>
        <w:tc>
          <w:tcPr>
            <w:tcW w:type="dxa" w:w="5832"/>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Three reproducible hubs; federation A01–A04 pass; privacy and abuse A07 pass; restore A08 pass. Radio A05 must pass before field radio service. Optional LXMF A06 is a separate decision.</w:t>
            </w:r>
          </w:p>
        </w:tc>
        <w:tc>
          <w:tcPr>
            <w:tcW w:type="dxa" w:w="2016"/>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HN SE G review raw logs and defects. All critical failures closed; R06–R14 complete except explicitly deferred optional R12; R15 follows G1.</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G2</w:t>
              <w:br/>
              <w:t>End week 26</w:t>
              <w:br/>
              <w:t>Pilot accepted</w:t>
            </w:r>
          </w:p>
        </w:tc>
        <w:tc>
          <w:tcPr>
            <w:tcW w:type="dxa" w:w="583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Three signed host agreements; safe installed links; 30 day evidence for A09; resident and operator tests A10–A11; funded maintenance and resolved high risks</w:t>
            </w:r>
          </w:p>
        </w:tc>
        <w:tc>
          <w:tcPr>
            <w:tcW w:type="dxa" w:w="201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HN SE G plus hosts accept R16–R23. Extend observation if a material outage invalidates results.</w:t>
            </w:r>
          </w:p>
        </w:tc>
      </w:tr>
      <w:tr>
        <w:trPr>
          <w:cantSplit/>
        </w:trPr>
        <w:tc>
          <w:tcPr>
            <w:tcW w:type="dxa" w:w="180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G3</w:t>
              <w:br/>
              <w:t>Each expansion wave</w:t>
            </w:r>
          </w:p>
        </w:tc>
        <w:tc>
          <w:tcPr>
            <w:tcW w:type="dxa" w:w="5832"/>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Per site survey, installation budget, trained backup operator, monitoring, restore evidence, policy agreement and capacity headroom</w:t>
            </w:r>
          </w:p>
        </w:tc>
        <w:tc>
          <w:tcPr>
            <w:tcW w:type="dxa" w:w="2016"/>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All role owners and new hosts accept R24–R26 before activating each new hub; R27 recurs afterward.</w:t>
            </w:r>
          </w:p>
        </w:tc>
      </w:tr>
    </w:tbl>
    <w:p>
      <w:pPr>
        <w:spacing w:after="20"/>
      </w:pPr>
    </w:p>
    <w:p>
      <w:pPr>
        <w:pStyle w:val="Heading2"/>
      </w:pPr>
      <w:r>
        <w:t>Critical path</w:t>
      </w:r>
    </w:p>
    <w:p>
      <w:r>
        <w:t>Roles and scope → requirements and address plan → priced BOM → OS image and network → BBS toolchain and working three hub federation → outage and restore tests → permissions and link surveys → safe installation → 30 day pilot measurement → expansion review. Site conversations can begin during the lab, but installation depends on both G1 and site readiness.</w:t>
      </w:r>
    </w:p>
    <w:p>
      <w:pPr>
        <w:pStyle w:val="Heading2"/>
      </w:pPr>
      <w:r>
        <w:t>Evidence record</w:t>
      </w:r>
    </w:p>
    <w:p>
      <w:r>
        <w:t>For every gate save: dated test plan, hardware and software versions, configuration revision, topology, traffic profile, anonymized logs, actual versus target results, unresolved issues, and the signed decision. Store secrets separately. A failed test creates a defect with owner and retest date; “works in a demo” is not an acceptance result.</w:t>
      </w:r>
    </w:p>
    <w:p>
      <w:pPr>
        <w:pStyle w:val="Heading2"/>
      </w:pPr>
      <w:r>
        <w:t>Budget control</w:t>
      </w:r>
    </w:p>
    <w:p>
      <w:r>
        <w:t>Lab equipment planning envelope: $1,908–3,636 including shared spares and 20% contingency. Field replacement envelope: $3,312–6,480 on the same basis; deduct reused equipment and add excluded installation costs before approval. Optional separate LoRa hardware for Reticulum adds $240–540 before contingency. SE and HN must not assume the same radio runs Meshtastic and Reticulum concurrently.</w:t>
      </w:r>
    </w:p>
    <w:p>
      <w:r>
        <w:br w:type="page"/>
      </w:r>
    </w:p>
    <w:p>
      <w:pPr>
        <w:pStyle w:val="Heading1"/>
      </w:pPr>
      <w:r>
        <w:t>Acceptance tests for the lab</w:t>
      </w:r>
    </w:p>
    <w:p>
      <w:r>
        <w:t>Targets are proposed engineering criteria, not measured capability. Use controlled synthetic content and record the test load. G witnesses resident facing behavior; HN records RF and network conditions; SE records application state. Count messages by immutable ID rather than by screen screenshots alone.</w:t>
      </w:r>
    </w:p>
    <w:tbl>
      <w:tblPr>
        <w:tblW w:type="auto" w:w="0"/>
        <w:tblLayout w:type="fixed"/>
        <w:tblLook w:firstColumn="1" w:firstRow="1" w:lastColumn="0" w:lastRow="0" w:noHBand="0" w:noVBand="1" w:val="04A0"/>
      </w:tblPr>
      <w:tblGrid>
        <w:gridCol w:w="1080"/>
        <w:gridCol w:w="4320"/>
        <w:gridCol w:w="4248"/>
      </w:tblGrid>
      <w:tr>
        <w:trPr>
          <w:cantSplit/>
          <w:tblHeader/>
        </w:trPr>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ID</w:t>
            </w:r>
          </w:p>
        </w:tc>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Procedure</w:t>
            </w:r>
          </w:p>
        </w:tc>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Proposed pass criterion</w:t>
            </w:r>
          </w:p>
        </w:tc>
      </w:tr>
      <w:tr>
        <w:trPr>
          <w:cantSplit/>
        </w:trPr>
        <w:tc>
          <w:tcPr>
            <w:tcW w:type="dxa" w:w="108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A01</w:t>
              <w:br/>
              <w:t>Offline hub</w:t>
            </w:r>
          </w:p>
        </w:tc>
        <w:tc>
          <w:tcPr>
            <w:tcW w:type="dxa" w:w="432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Disconnect internet and all peers for 24 hours; exercise 10 accounts and local boards.</w:t>
            </w:r>
          </w:p>
        </w:tc>
        <w:tc>
          <w:tcPr>
            <w:tcW w:type="dxa" w:w="424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All three hubs retain login, local read and post, help and local name resolution. UI shows isolation and queued traffic.</w:t>
            </w:r>
          </w:p>
        </w:tc>
      </w:tr>
      <w:tr>
        <w:trPr>
          <w:cantSplit/>
        </w:trPr>
        <w:tc>
          <w:tcPr>
            <w:tcW w:type="dxa" w:w="108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A02</w:t>
              <w:br/>
              <w:t>Federation</w:t>
            </w:r>
          </w:p>
        </w:tc>
        <w:tc>
          <w:tcPr>
            <w:tcW w:type="dxa" w:w="432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Inject 100 unique 1 KB text posts per hub on a shared board at a controlled rate; restore a previously down link.</w:t>
            </w:r>
          </w:p>
        </w:tc>
        <w:tc>
          <w:tcPr>
            <w:tcW w:type="dxa" w:w="424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All 300 posts reach all eligible hubs within 10 minutes after stable IP connectivity returns; zero duplicate visible posts and zero silent loss.</w:t>
            </w:r>
          </w:p>
        </w:tc>
      </w:tr>
      <w:tr>
        <w:trPr>
          <w:cantSplit/>
        </w:trPr>
        <w:tc>
          <w:tcPr>
            <w:tcW w:type="dxa" w:w="108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A03</w:t>
              <w:br/>
              <w:t>Queue survival</w:t>
            </w:r>
          </w:p>
        </w:tc>
        <w:tc>
          <w:tcPr>
            <w:tcW w:type="dxa" w:w="432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While a peer is down for 24 hours, enqueue 100 posts; restart sender twice; then restore peer.</w:t>
            </w:r>
          </w:p>
        </w:tc>
        <w:tc>
          <w:tcPr>
            <w:tcW w:type="dxa" w:w="424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All valid posts arrive once within 10 minutes of stable recovery. Status distinguishes queued, peer accepted and failed. Expiry and quota failures are visible.</w:t>
            </w:r>
          </w:p>
        </w:tc>
      </w:tr>
      <w:tr>
        <w:trPr>
          <w:cantSplit/>
        </w:trPr>
        <w:tc>
          <w:tcPr>
            <w:tcW w:type="dxa" w:w="108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A04</w:t>
              <w:br/>
              <w:t>Route and hub loss</w:t>
            </w:r>
          </w:p>
        </w:tc>
        <w:tc>
          <w:tcPr>
            <w:tcW w:type="dxa" w:w="432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Remove one link from the triangle, then restore it. Separately stop one hub.</w:t>
            </w:r>
          </w:p>
        </w:tc>
        <w:tc>
          <w:tcPr>
            <w:tcW w:type="dxa" w:w="424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 remaining valid route recovers within 2 minutes; remaining hubs stay usable. A missing hub queues mail until return; no claim of access to its live accounts during outage.</w:t>
            </w:r>
          </w:p>
        </w:tc>
      </w:tr>
      <w:tr>
        <w:trPr>
          <w:cantSplit/>
        </w:trPr>
        <w:tc>
          <w:tcPr>
            <w:tcW w:type="dxa" w:w="108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A05</w:t>
              <w:br/>
              <w:t>Meshtastic</w:t>
            </w:r>
          </w:p>
        </w:tc>
        <w:tc>
          <w:tcPr>
            <w:tcW w:type="dxa" w:w="432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Test 3 radios at documented positions and settings: 100 short messages at one per minute aggregate; repeat with gateway receive enabled.</w:t>
            </w:r>
          </w:p>
        </w:tc>
        <w:tc>
          <w:tcPr>
            <w:tcW w:type="dxa" w:w="424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At least 95% arrive at intended receiving device within 2 minutes under recorded conditions. Record retries and airtime. This tests short radio messages, not BBS posts or citywide coverage.</w:t>
            </w:r>
          </w:p>
        </w:tc>
      </w:tr>
      <w:tr>
        <w:trPr>
          <w:cantSplit/>
        </w:trPr>
        <w:tc>
          <w:tcPr>
            <w:tcW w:type="dxa" w:w="108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A06</w:t>
              <w:br/>
              <w:t>Optional LXMF</w:t>
            </w:r>
          </w:p>
        </w:tc>
        <w:tc>
          <w:tcPr>
            <w:tcW w:type="dxa" w:w="432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Use 3 distinct identities; disconnect one recipient; submit 50 short messages to a configured propagation node; reconnect.</w:t>
            </w:r>
          </w:p>
        </w:tc>
        <w:tc>
          <w:tcPr>
            <w:tcW w:type="dxa" w:w="424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All 50 eventually retrieve within 15 minutes of stable service, with no plaintext in propagation storage confirmed by inspection. Record client and identity backup behavior; constrain claims to tested versions.</w:t>
            </w:r>
          </w:p>
        </w:tc>
      </w:tr>
    </w:tbl>
    <w:p>
      <w:pPr>
        <w:spacing w:after="20"/>
      </w:pPr>
    </w:p>
    <w:p>
      <w:r>
        <w:t>When a target fails, measure the limiting factor before adjusting it. Freeze message length, radio preset, channel, hop limits, queue settings, topology, firmware, and test geography in the evidence record. No radio range estimate substitutes for this test.</w:t>
      </w:r>
    </w:p>
    <w:p>
      <w:r>
        <w:br w:type="page"/>
      </w:r>
    </w:p>
    <w:p>
      <w:pPr>
        <w:pStyle w:val="Heading1"/>
      </w:pPr>
      <w:r>
        <w:t>Acceptance tests for security and operation</w:t>
      </w:r>
    </w:p>
    <w:tbl>
      <w:tblPr>
        <w:tblW w:type="auto" w:w="0"/>
        <w:tblLayout w:type="fixed"/>
        <w:tblLook w:firstColumn="1" w:firstRow="1" w:lastColumn="0" w:lastRow="0" w:noHBand="0" w:noVBand="1" w:val="04A0"/>
      </w:tblPr>
      <w:tblGrid>
        <w:gridCol w:w="1224"/>
        <w:gridCol w:w="4320"/>
        <w:gridCol w:w="4104"/>
      </w:tblGrid>
      <w:tr>
        <w:trPr>
          <w:cantSplit/>
          <w:tblHeader/>
        </w:trPr>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ID</w:t>
            </w:r>
          </w:p>
        </w:tc>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Procedure</w:t>
            </w:r>
          </w:p>
        </w:tc>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Proposed pass criterion</w:t>
            </w:r>
          </w:p>
        </w:tc>
      </w:tr>
      <w:tr>
        <w:trPr>
          <w:cantSplit/>
        </w:trPr>
        <w:tc>
          <w:tcPr>
            <w:tcW w:type="dxa" w:w="122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A07</w:t>
              <w:br/>
              <w:t>Security and gateways</w:t>
            </w:r>
          </w:p>
        </w:tc>
        <w:tc>
          <w:tcPr>
            <w:tcW w:type="dxa" w:w="432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Attempt unauthorized administration, oversized input, duplicate and looped messages, and 10× normal input rate. Inspect logs, telemetry and network access.</w:t>
            </w:r>
          </w:p>
        </w:tc>
        <w:tc>
          <w:tcPr>
            <w:tcW w:type="dxa" w:w="410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No management access from resident segments; no automatic private mail export; adapter deduplicates and rejects malformed input, bounds queues and applies quotas. Public MQTT and unsolicited location reports disabled. Stop outbound radio on saturation.</w:t>
            </w:r>
          </w:p>
        </w:tc>
      </w:tr>
      <w:tr>
        <w:trPr>
          <w:cantSplit/>
        </w:trPr>
        <w:tc>
          <w:tcPr>
            <w:tcW w:type="dxa" w:w="1224"/>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A08</w:t>
              <w:br/>
              <w:t>Restore and power</w:t>
            </w:r>
          </w:p>
        </w:tc>
        <w:tc>
          <w:tcPr>
            <w:tcW w:type="dxa" w:w="432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Simulate unclean shutdown with messages queued; restore a hub onto spare storage from a coherent backup. Run measured backup power test.</w:t>
            </w:r>
          </w:p>
        </w:tc>
        <w:tc>
          <w:tcPr>
            <w:tcW w:type="dxa" w:w="4104"/>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Hub restored within 4 hours by backup operator. No loss of acknowledged committed messages in crash test; disk loss recovery point ≤24 hours. Queued state reconciles without visible duplicates. Field target ≥8 hours measured runtime at representative load.</w:t>
            </w:r>
          </w:p>
        </w:tc>
      </w:tr>
      <w:tr>
        <w:trPr>
          <w:cantSplit/>
        </w:trPr>
        <w:tc>
          <w:tcPr>
            <w:tcW w:type="dxa" w:w="122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A09</w:t>
              <w:br/>
              <w:t>Field service</w:t>
            </w:r>
          </w:p>
        </w:tc>
        <w:tc>
          <w:tcPr>
            <w:tcW w:type="dxa" w:w="432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Run 30 consecutive days with 3 hubs, uptime probes, route logs and 1 KB synthetic hourly federation posts. Separately test each surveyed backbone link.</w:t>
            </w:r>
          </w:p>
        </w:tc>
        <w:tc>
          <w:tcPr>
            <w:tcW w:type="dxa" w:w="410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Each hub locally available ≥99% of scheduled service minutes; ≥95% of test posts federate within 15 minutes while paths are available. Each backbone link sustains ≥10 Mbps useful throughput for 30 minutes with ≤1% probe loss. Record latency, outages, weather and interference.</w:t>
            </w:r>
          </w:p>
        </w:tc>
      </w:tr>
      <w:tr>
        <w:trPr>
          <w:cantSplit/>
        </w:trPr>
        <w:tc>
          <w:tcPr>
            <w:tcW w:type="dxa" w:w="1224"/>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A10</w:t>
              <w:br/>
              <w:t>Resident use</w:t>
            </w:r>
          </w:p>
        </w:tc>
        <w:tc>
          <w:tcPr>
            <w:tcW w:type="dxa" w:w="432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Recruit at least 6 consenting residents, including beginners; ask them to connect, find help, post locally and identify queued federation status.</w:t>
            </w:r>
          </w:p>
        </w:tc>
        <w:tc>
          <w:tcPr>
            <w:tcW w:type="dxa" w:w="4104"/>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At least 5 of 6 complete each task without operator intervention. All can identify public versus private audience after onboarding. Fix critical accessibility and consent failures before expanding.</w:t>
            </w:r>
          </w:p>
        </w:tc>
      </w:tr>
      <w:tr>
        <w:trPr>
          <w:cantSplit/>
        </w:trPr>
        <w:tc>
          <w:tcPr>
            <w:tcW w:type="dxa" w:w="122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A11</w:t>
              <w:br/>
              <w:t>Handover</w:t>
            </w:r>
          </w:p>
        </w:tc>
        <w:tc>
          <w:tcPr>
            <w:tcW w:type="dxa" w:w="432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Primary operator is unavailable during a planned drill. Backup operator follows the runbook, checks power and links, rotates one test credential and restores a backup.</w:t>
            </w:r>
          </w:p>
        </w:tc>
        <w:tc>
          <w:tcPr>
            <w:tcW w:type="dxa" w:w="410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All 3 hubs have a trained backup and an escalation contact. Drill completes within 4 hours without the primary operator. Findings and replacements are funded or have an accepted owner and due date.</w:t>
            </w:r>
          </w:p>
        </w:tc>
      </w:tr>
    </w:tbl>
    <w:p>
      <w:pPr>
        <w:spacing w:after="20"/>
      </w:pPr>
    </w:p>
    <w:p>
      <w:pPr>
        <w:pStyle w:val="Heading2"/>
      </w:pPr>
      <w:r>
        <w:t>Measurement and exception handling</w:t>
      </w:r>
    </w:p>
    <w:p>
      <w:r>
        <w:t>Availability denominator includes all scheduled service minutes; label planned maintenance and publish both inclusive and maintenance adjusted results. Track median and 95th percentile queue age, delivery success, duplicates, disk utilization, radio airtime, power draw and operator hours. Separate disconnected path delays from delivery delays on an available path. Avoid storing resident message bodies in telemetry.</w:t>
      </w:r>
    </w:p>
    <w:p>
      <w:r>
        <w:t>A09 capacity and radio targets must be rerun at the projected load before each expansion wave. A failed privacy, data loss, electrical safety, or consent test blocks the affected service. Other waivers need a written scope, reason, mitigation, owner, expiry, and acceptance by all role owners; do not quietly redefine a pass.</w:t>
      </w:r>
    </w:p>
    <w:p>
      <w:r>
        <w:br w:type="page"/>
      </w:r>
    </w:p>
    <w:p>
      <w:pPr>
        <w:pStyle w:val="Heading1"/>
      </w:pPr>
      <w:r>
        <w:t>Discovery and lab tasks</w:t>
      </w:r>
    </w:p>
    <w:p>
      <w:r>
        <w:t>All items start Planned. Effort is estimated person days at 6 focused hours per day; it excludes waiting for shipments or permissions. Effort ranges are planning inputs, not commitments. IDs remain stable when tasks move between phases.</w:t>
      </w:r>
    </w:p>
    <w:tbl>
      <w:tblPr>
        <w:tblW w:type="auto" w:w="0"/>
        <w:tblLayout w:type="fixed"/>
        <w:tblLook w:firstColumn="1" w:firstRow="1" w:lastColumn="0" w:lastRow="0" w:noHBand="0" w:noVBand="1" w:val="04A0"/>
      </w:tblPr>
      <w:tblGrid>
        <w:gridCol w:w="1440"/>
        <w:gridCol w:w="1440"/>
        <w:gridCol w:w="6768"/>
      </w:tblGrid>
      <w:tr>
        <w:trPr>
          <w:cantSplit/>
          <w:tblHeader/>
        </w:trPr>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ID owner days</w:t>
            </w:r>
          </w:p>
        </w:tc>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Depends on</w:t>
            </w:r>
          </w:p>
        </w:tc>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Action and done evidence</w:t>
            </w:r>
          </w:p>
        </w:tc>
      </w:tr>
      <w:tr>
        <w:trPr>
          <w:cantSplit/>
        </w:trPr>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R01</w:t>
              <w:br/>
              <w:t>G  1–2</w:t>
            </w:r>
          </w:p>
        </w:tc>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None</w:t>
            </w:r>
          </w:p>
        </w:tc>
        <w:tc>
          <w:tcPr>
            <w:tcW w:type="dxa" w:w="67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Assign primary and backup roles; approve scope, kickoff and lab cap.</w:t>
              <w:br/>
              <w:t>Done: Named roster, decision log and spending authority recorded.</w:t>
            </w:r>
          </w:p>
        </w:tc>
      </w:tr>
      <w:tr>
        <w:trPr>
          <w:cantSplit/>
        </w:trPr>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R02</w:t>
              <w:br/>
              <w:t>G  2–3</w:t>
            </w:r>
          </w:p>
        </w:tc>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R01</w:t>
            </w:r>
          </w:p>
        </w:tc>
        <w:tc>
          <w:tcPr>
            <w:tcW w:type="dxa" w:w="676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Interview 6 residents; draft charter, moderation, privacy, retention and host agreement.</w:t>
              <w:br/>
              <w:t>Done: Ranked use cases, consent text and acceptance scripts reviewed by all roles.</w:t>
            </w:r>
          </w:p>
        </w:tc>
      </w:tr>
      <w:tr>
        <w:trPr>
          <w:cantSplit/>
        </w:trPr>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R03</w:t>
              <w:br/>
              <w:t>HN  2–3</w:t>
            </w:r>
          </w:p>
        </w:tc>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R01</w:t>
            </w:r>
          </w:p>
        </w:tc>
        <w:tc>
          <w:tcPr>
            <w:tcW w:type="dxa" w:w="67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Survey candidate sites without installation; inventory reused gear; estimate loads and link paths.</w:t>
              <w:br/>
              <w:t>Done: Three candidate hubs with access, power, mounting constraints and alternate paths documented.</w:t>
            </w:r>
          </w:p>
        </w:tc>
      </w:tr>
      <w:tr>
        <w:trPr>
          <w:cantSplit/>
        </w:trPr>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R04</w:t>
              <w:br/>
              <w:t>SE  2–3</w:t>
            </w:r>
          </w:p>
        </w:tc>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R02</w:t>
            </w:r>
          </w:p>
        </w:tc>
        <w:tc>
          <w:tcPr>
            <w:tcW w:type="dxa" w:w="676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Specify hub IDs, collision checked IP plan, board routing and gateway contracts with G.</w:t>
              <w:br/>
              <w:t>Done: Versioned v0.2 decision register, trust boundaries and test matrix; no assumed interoperability.</w:t>
            </w:r>
          </w:p>
        </w:tc>
      </w:tr>
      <w:tr>
        <w:trPr>
          <w:cantSplit/>
        </w:trPr>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R05</w:t>
              <w:br/>
              <w:t>HN  1–2</w:t>
            </w:r>
          </w:p>
        </w:tc>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R03 R04</w:t>
            </w:r>
          </w:p>
        </w:tc>
        <w:tc>
          <w:tcPr>
            <w:tcW w:type="dxa" w:w="67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Price exact US region BOM, PoE, SSD, UPS and spares; secure lab authorization.</w:t>
              <w:br/>
              <w:t>Done: Delivered costs and exclusions fit approved cap; G0 recorded before orders.</w:t>
            </w:r>
          </w:p>
        </w:tc>
      </w:tr>
      <w:tr>
        <w:trPr>
          <w:cantSplit/>
        </w:trPr>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R06</w:t>
              <w:br/>
              <w:t>SE  2–4</w:t>
            </w:r>
          </w:p>
        </w:tc>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G0</w:t>
            </w:r>
          </w:p>
        </w:tc>
        <w:tc>
          <w:tcPr>
            <w:tcW w:type="dxa" w:w="676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Build supported Debian image, disk layout, service accounts, firewall and offline DNS.</w:t>
              <w:br/>
              <w:t>Done: A second hub can be recreated from instructions; signed configuration revision and rollback image.</w:t>
            </w:r>
          </w:p>
        </w:tc>
      </w:tr>
      <w:tr>
        <w:trPr>
          <w:cantSplit/>
        </w:trPr>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R07</w:t>
              <w:br/>
              <w:t>HN  2–3</w:t>
            </w:r>
          </w:p>
        </w:tc>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R05 R06</w:t>
            </w:r>
          </w:p>
        </w:tc>
        <w:tc>
          <w:tcPr>
            <w:tcW w:type="dxa" w:w="67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Assemble 3 hubs, separate resident and management networks; create routed lab triangle.</w:t>
              <w:br/>
              <w:t>Done: Ports, radios, watts, IPs and credentials inventory; link removal test reproducible.</w:t>
            </w:r>
          </w:p>
        </w:tc>
      </w:tr>
      <w:tr>
        <w:trPr>
          <w:cantSplit/>
        </w:trPr>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R08</w:t>
              <w:br/>
              <w:t>G  2–3</w:t>
            </w:r>
          </w:p>
        </w:tc>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R02 R06</w:t>
            </w:r>
          </w:p>
        </w:tc>
        <w:tc>
          <w:tcPr>
            <w:tcW w:type="dxa" w:w="676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Design board hierarchy, sysop menus, onboarding and local versus federated audiences.</w:t>
              <w:br/>
              <w:t>Done: Six resident tasks and moderation workflow can be exercised without internet.</w:t>
            </w:r>
          </w:p>
        </w:tc>
      </w:tr>
      <w:tr>
        <w:trPr>
          <w:cantSplit/>
        </w:trPr>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R09</w:t>
              <w:br/>
              <w:t>SE  3–5</w:t>
            </w:r>
          </w:p>
        </w:tc>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R07 R08</w:t>
            </w:r>
          </w:p>
        </w:tc>
        <w:tc>
          <w:tcPr>
            <w:tcW w:type="dxa" w:w="67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Install Synchronet; compare FTN tosser plus BinkP against QWK; select one federation path with G.</w:t>
              <w:br/>
              <w:t>Done: Three hubs exchange public test boards, preserve IDs, avoid loops; document private namespace and secure transport.</w:t>
            </w:r>
          </w:p>
        </w:tc>
      </w:tr>
      <w:tr>
        <w:trPr>
          <w:cantSplit/>
        </w:trPr>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R10</w:t>
              <w:br/>
              <w:t>SE  2–4</w:t>
            </w:r>
          </w:p>
        </w:tc>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R09</w:t>
            </w:r>
          </w:p>
        </w:tc>
        <w:tc>
          <w:tcPr>
            <w:tcW w:type="dxa" w:w="676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Configure durable queues, quotas, expiry, monitoring and coherent backups.</w:t>
              <w:br/>
              <w:t>Done: A01–A04 and A08 results captured; visible queue status and no silent rejection.</w:t>
            </w:r>
          </w:p>
        </w:tc>
      </w:tr>
      <w:tr>
        <w:trPr>
          <w:cantSplit/>
        </w:trPr>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R11</w:t>
              <w:br/>
              <w:t>HN  2–3</w:t>
            </w:r>
          </w:p>
        </w:tc>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R07</w:t>
            </w:r>
          </w:p>
        </w:tc>
        <w:tc>
          <w:tcPr>
            <w:tcW w:type="dxa" w:w="67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Configure 3 Meshtastic radios with supported US settings; measure rate and placement.</w:t>
              <w:br/>
              <w:t>Done: A05 baseline and privacy settings documented; channel ownership and key handling reviewed by G.</w:t>
            </w:r>
          </w:p>
        </w:tc>
      </w:tr>
    </w:tbl>
    <w:p>
      <w:pPr>
        <w:spacing w:after="20"/>
      </w:pPr>
    </w:p>
    <w:p>
      <w:r>
        <w:br w:type="page"/>
      </w:r>
    </w:p>
    <w:p>
      <w:pPr>
        <w:pStyle w:val="Heading1"/>
      </w:pPr>
      <w:r>
        <w:t>Integration and field preparation tasks</w:t>
      </w:r>
    </w:p>
    <w:tbl>
      <w:tblPr>
        <w:tblW w:type="auto" w:w="0"/>
        <w:tblLayout w:type="fixed"/>
        <w:tblLook w:firstColumn="1" w:firstRow="1" w:lastColumn="0" w:lastRow="0" w:noHBand="0" w:noVBand="1" w:val="04A0"/>
      </w:tblPr>
      <w:tblGrid>
        <w:gridCol w:w="1440"/>
        <w:gridCol w:w="1440"/>
        <w:gridCol w:w="6768"/>
      </w:tblGrid>
      <w:tr>
        <w:trPr>
          <w:cantSplit/>
          <w:tblHeader/>
        </w:trPr>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ID owner days</w:t>
            </w:r>
          </w:p>
        </w:tc>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Depends on</w:t>
            </w:r>
          </w:p>
        </w:tc>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Action and done evidence</w:t>
            </w:r>
          </w:p>
        </w:tc>
      </w:tr>
      <w:tr>
        <w:trPr>
          <w:cantSplit/>
        </w:trPr>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R12</w:t>
              <w:br/>
              <w:t>SE  2–4</w:t>
            </w:r>
          </w:p>
        </w:tc>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R10</w:t>
            </w:r>
          </w:p>
        </w:tc>
        <w:tc>
          <w:tcPr>
            <w:tcW w:type="dxa" w:w="67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Optional: trial Reticulum on IP first, then separate compatible LoRa hardware and LXMF propagation.</w:t>
              <w:br/>
              <w:t>Done: A06 evidence and documented go or defer decision; no automatic BBS bridge.</w:t>
            </w:r>
          </w:p>
        </w:tc>
      </w:tr>
      <w:tr>
        <w:trPr>
          <w:cantSplit/>
        </w:trPr>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R13</w:t>
              <w:br/>
              <w:t>SE  3–5</w:t>
            </w:r>
          </w:p>
        </w:tc>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R10 R11</w:t>
            </w:r>
          </w:p>
        </w:tc>
        <w:tc>
          <w:tcPr>
            <w:tcW w:type="dxa" w:w="676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Build receive only Meshtastic adapter with IDs, allowlists, size caps, rate limits and loop suppression.</w:t>
              <w:br/>
              <w:t>Done: A07 abuse tests pass. Outbound path stays disabled until HN airtime review and G consent approval.</w:t>
            </w:r>
          </w:p>
        </w:tc>
      </w:tr>
      <w:tr>
        <w:trPr>
          <w:cantSplit/>
        </w:trPr>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R14</w:t>
              <w:br/>
              <w:t>G  1–2</w:t>
            </w:r>
          </w:p>
        </w:tc>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R08–R13</w:t>
            </w:r>
          </w:p>
        </w:tc>
        <w:tc>
          <w:tcPr>
            <w:tcW w:type="dxa" w:w="67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Run cross role lab review; include outage, security and recovery drills.</w:t>
              <w:br/>
              <w:t>Done: Versioned evidence pack, open defects and optional service decisions; G1 signed.</w:t>
            </w:r>
          </w:p>
        </w:tc>
      </w:tr>
      <w:tr>
        <w:trPr>
          <w:cantSplit/>
        </w:trPr>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R15</w:t>
              <w:br/>
              <w:t>SE  1–2</w:t>
            </w:r>
          </w:p>
        </w:tc>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R14</w:t>
            </w:r>
          </w:p>
        </w:tc>
        <w:tc>
          <w:tcPr>
            <w:tcW w:type="dxa" w:w="676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Freeze known good versions, configuration templates and rollback images.</w:t>
              <w:br/>
              <w:t>Done: Rebuild check and release manifest with hashes, dependencies and recovery notes.</w:t>
            </w:r>
          </w:p>
        </w:tc>
      </w:tr>
      <w:tr>
        <w:trPr>
          <w:cantSplit/>
        </w:trPr>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R16</w:t>
              <w:br/>
              <w:t>G  2–4</w:t>
            </w:r>
          </w:p>
        </w:tc>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G1 R03</w:t>
            </w:r>
          </w:p>
        </w:tc>
        <w:tc>
          <w:tcPr>
            <w:tcW w:type="dxa" w:w="67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Secure 3 written host agreements, access contacts, local policy and replacement responsibilities.</w:t>
              <w:br/>
              <w:t>Done: Each host authorizes mounting and operating terms; permission gaps resolved.</w:t>
            </w:r>
          </w:p>
        </w:tc>
      </w:tr>
      <w:tr>
        <w:trPr>
          <w:cantSplit/>
        </w:trPr>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R17</w:t>
              <w:br/>
              <w:t>HN  3–5</w:t>
            </w:r>
          </w:p>
        </w:tc>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R16</w:t>
            </w:r>
          </w:p>
        </w:tc>
        <w:tc>
          <w:tcPr>
            <w:tcW w:type="dxa" w:w="676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Complete link and interference surveys, grounding and power plan; engage qualified installer as needed.</w:t>
              <w:br/>
              <w:t>Done: Per link budget, clearance, safe access and full cost review accepted before mounting.</w:t>
            </w:r>
          </w:p>
        </w:tc>
      </w:tr>
      <w:tr>
        <w:trPr>
          <w:cantSplit/>
        </w:trPr>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R18</w:t>
              <w:br/>
              <w:t>HN  3–5</w:t>
            </w:r>
          </w:p>
        </w:tc>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R17 R15</w:t>
            </w:r>
          </w:p>
        </w:tc>
        <w:tc>
          <w:tcPr>
            <w:tcW w:type="dxa" w:w="67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Install pilot hubs, align radios, label equipment, test local access and backup power.</w:t>
              <w:br/>
              <w:t>Done: As built inventory and topology; A08 power and A09 link tests pass at every site.</w:t>
            </w:r>
          </w:p>
        </w:tc>
      </w:tr>
      <w:tr>
        <w:trPr>
          <w:cantSplit/>
        </w:trPr>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R19</w:t>
              <w:br/>
              <w:t>SE  2–3</w:t>
            </w:r>
          </w:p>
        </w:tc>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R18</w:t>
            </w:r>
          </w:p>
        </w:tc>
        <w:tc>
          <w:tcPr>
            <w:tcW w:type="dxa" w:w="676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Enable monitoring, protected peer paths and pilot backup rotation; rehearse rollback.</w:t>
              <w:br/>
              <w:t>Done: Remote fault visibility without message body logs; restore and failed queue alerts verified.</w:t>
            </w:r>
          </w:p>
        </w:tc>
      </w:tr>
    </w:tbl>
    <w:p>
      <w:pPr>
        <w:spacing w:after="20"/>
      </w:pPr>
    </w:p>
    <w:p>
      <w:r>
        <w:br w:type="page"/>
      </w:r>
    </w:p>
    <w:p>
      <w:pPr>
        <w:pStyle w:val="Heading1"/>
      </w:pPr>
      <w:r>
        <w:t>Pilot and expansion tasks</w:t>
      </w:r>
    </w:p>
    <w:tbl>
      <w:tblPr>
        <w:tblW w:type="auto" w:w="0"/>
        <w:tblLayout w:type="fixed"/>
        <w:tblLook w:firstColumn="1" w:firstRow="1" w:lastColumn="0" w:lastRow="0" w:noHBand="0" w:noVBand="1" w:val="04A0"/>
      </w:tblPr>
      <w:tblGrid>
        <w:gridCol w:w="1440"/>
        <w:gridCol w:w="1440"/>
        <w:gridCol w:w="6768"/>
      </w:tblGrid>
      <w:tr>
        <w:trPr>
          <w:cantSplit/>
          <w:tblHeader/>
        </w:trPr>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ID owner days</w:t>
            </w:r>
          </w:p>
        </w:tc>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Depends on</w:t>
            </w:r>
          </w:p>
        </w:tc>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Action and done evidence</w:t>
            </w:r>
          </w:p>
        </w:tc>
      </w:tr>
      <w:tr>
        <w:trPr>
          <w:cantSplit/>
        </w:trPr>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R20</w:t>
              <w:br/>
              <w:t>G  2–3</w:t>
            </w:r>
          </w:p>
        </w:tc>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R19</w:t>
            </w:r>
          </w:p>
        </w:tc>
        <w:tc>
          <w:tcPr>
            <w:tcW w:type="dxa" w:w="67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Onboard residents; run A10 and sysop training; publish audience and outage notices.</w:t>
              <w:br/>
              <w:t>Done: Usability issues logged and critical consent failures closed.</w:t>
            </w:r>
          </w:p>
        </w:tc>
      </w:tr>
      <w:tr>
        <w:trPr>
          <w:cantSplit/>
        </w:trPr>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R21</w:t>
              <w:br/>
              <w:t>HN  2–3</w:t>
            </w:r>
          </w:p>
        </w:tc>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R19</w:t>
            </w:r>
          </w:p>
        </w:tc>
        <w:tc>
          <w:tcPr>
            <w:tcW w:type="dxa" w:w="676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Observe 30 days with SE; review weather, RF airtime and backup behavior weekly.</w:t>
              <w:br/>
              <w:t>Done: A09 results and capacity bottlenecks recorded; unsafe or congested radio service paused.</w:t>
            </w:r>
          </w:p>
        </w:tc>
      </w:tr>
      <w:tr>
        <w:trPr>
          <w:cantSplit/>
        </w:trPr>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R22</w:t>
              <w:br/>
              <w:t>G  1–2</w:t>
            </w:r>
          </w:p>
        </w:tc>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R20 R21</w:t>
            </w:r>
          </w:p>
        </w:tc>
        <w:tc>
          <w:tcPr>
            <w:tcW w:type="dxa" w:w="67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Run backup operator drill and document support workload and maintenance reserve.</w:t>
              <w:br/>
              <w:t>Done: A11 passes at 3 hubs; hosts accept on call expectations and replacement funding.</w:t>
            </w:r>
          </w:p>
        </w:tc>
      </w:tr>
      <w:tr>
        <w:trPr>
          <w:cantSplit/>
        </w:trPr>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R23</w:t>
              <w:br/>
              <w:t>G  1–2</w:t>
            </w:r>
          </w:p>
        </w:tc>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R22</w:t>
            </w:r>
          </w:p>
        </w:tc>
        <w:tc>
          <w:tcPr>
            <w:tcW w:type="dxa" w:w="676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Hold pilot gate review with HN and SE; reconcile actual costs and resident feedback.</w:t>
              <w:br/>
              <w:t>Done: G2 signed or dated remediation plan; no assumed citywide approval.</w:t>
            </w:r>
          </w:p>
        </w:tc>
      </w:tr>
      <w:tr>
        <w:trPr>
          <w:cantSplit/>
        </w:trPr>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R24</w:t>
              <w:br/>
              <w:t>HN  2–4</w:t>
            </w:r>
          </w:p>
        </w:tc>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G2</w:t>
            </w:r>
          </w:p>
        </w:tc>
        <w:tc>
          <w:tcPr>
            <w:tcW w:type="dxa" w:w="67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Plan next 3–5 hubs from surveyable demand; price alternate paths and sites.</w:t>
              <w:br/>
              <w:t>Done: Per site permissions, link capacity and installation budget; no radius based coverage promise.</w:t>
            </w:r>
          </w:p>
        </w:tc>
      </w:tr>
      <w:tr>
        <w:trPr>
          <w:cantSplit/>
        </w:trPr>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R25</w:t>
              <w:br/>
              <w:t>SE  2–4</w:t>
            </w:r>
          </w:p>
        </w:tc>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R24</w:t>
            </w:r>
          </w:p>
        </w:tc>
        <w:tc>
          <w:tcPr>
            <w:tcW w:type="dxa" w:w="676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Retest load, upgrade and recovery at next wave size; enroll peers and rotate affected keys.</w:t>
              <w:br/>
              <w:t>Done: Capacity margin, abuse controls, A02–A09 regression and rollback evidence accepted.</w:t>
            </w:r>
          </w:p>
        </w:tc>
      </w:tr>
      <w:tr>
        <w:trPr>
          <w:cantSplit/>
        </w:trPr>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R26</w:t>
              <w:br/>
              <w:t>G  2–3</w:t>
            </w:r>
          </w:p>
        </w:tc>
        <w:tc>
          <w:tcPr>
            <w:tcW w:type="dxa" w:w="1440"/>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R25</w:t>
            </w:r>
          </w:p>
        </w:tc>
        <w:tc>
          <w:tcPr>
            <w:tcW w:type="dxa" w:w="67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Train new operators, onboard hosts and residents; run per site acceptance.</w:t>
              <w:br/>
              <w:t>Done: G3 signed for each site with backup operator, local policy and support contacts.</w:t>
            </w:r>
          </w:p>
        </w:tc>
      </w:tr>
      <w:tr>
        <w:trPr>
          <w:cantSplit/>
        </w:trPr>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R27</w:t>
              <w:br/>
              <w:t>G  1 recurring</w:t>
            </w:r>
          </w:p>
        </w:tc>
        <w:tc>
          <w:tcPr>
            <w:tcW w:type="dxa" w:w="1440"/>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R26</w:t>
            </w:r>
          </w:p>
        </w:tc>
        <w:tc>
          <w:tcPr>
            <w:tcW w:type="dxa" w:w="676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Review health, funding, usage and governance quarterly with HN and SE.</w:t>
              <w:br/>
              <w:t>Done: Published aggregate service report and prioritized maintenance; retire unsupported nodes safely.</w:t>
            </w:r>
          </w:p>
        </w:tc>
      </w:tr>
    </w:tbl>
    <w:p>
      <w:pPr>
        <w:spacing w:after="20"/>
      </w:pPr>
    </w:p>
    <w:p>
      <w:r>
        <w:br w:type="page"/>
      </w:r>
    </w:p>
    <w:p>
      <w:pPr>
        <w:pStyle w:val="Heading1"/>
      </w:pPr>
      <w:r>
        <w:t>Decision register and risk controls</w:t>
      </w:r>
    </w:p>
    <w:tbl>
      <w:tblPr>
        <w:tblW w:type="auto" w:w="0"/>
        <w:tblLayout w:type="fixed"/>
        <w:tblLook w:firstColumn="1" w:firstRow="1" w:lastColumn="0" w:lastRow="0" w:noHBand="0" w:noVBand="1" w:val="04A0"/>
      </w:tblPr>
      <w:tblGrid>
        <w:gridCol w:w="1728"/>
        <w:gridCol w:w="3528"/>
        <w:gridCol w:w="4392"/>
      </w:tblGrid>
      <w:tr>
        <w:trPr>
          <w:cantSplit/>
          <w:tblHeader/>
        </w:trPr>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Decision</w:t>
            </w:r>
          </w:p>
        </w:tc>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Status at issue</w:t>
            </w:r>
          </w:p>
        </w:tc>
        <w:tc>
          <w:tcPr>
            <w:tcW w:type="dxa" w:w="3360"/>
            <w:vAlign w:val="center"/>
            <w:shd w:fill="DCE6E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sz w:val="18"/>
              </w:rPr>
              <w:t>Validation or trigger</w:t>
            </w:r>
          </w:p>
        </w:tc>
      </w:tr>
      <w:tr>
        <w:trPr>
          <w:cantSplit/>
        </w:trPr>
        <w:tc>
          <w:tcPr>
            <w:tcW w:type="dxa" w:w="172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D01 OS and compute</w:t>
            </w:r>
          </w:p>
        </w:tc>
        <w:tc>
          <w:tcPr>
            <w:tcW w:type="dxa" w:w="352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Proposed: Debian stable on x86; ARM alternative</w:t>
            </w:r>
          </w:p>
        </w:tc>
        <w:tc>
          <w:tcPr>
            <w:tcW w:type="dxa" w:w="439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R06 rebuild and restore. Choose on support, power and complete delivered cost.</w:t>
            </w:r>
          </w:p>
        </w:tc>
      </w:tr>
      <w:tr>
        <w:trPr>
          <w:cantSplit/>
        </w:trPr>
        <w:tc>
          <w:tcPr>
            <w:tcW w:type="dxa" w:w="172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D02 BBS federation</w:t>
            </w:r>
          </w:p>
        </w:tc>
        <w:tc>
          <w:tcPr>
            <w:tcW w:type="dxa" w:w="352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Proposed: Synchronet plus tested FTN tosser and BinkP; QWK alternative</w:t>
            </w:r>
          </w:p>
        </w:tc>
        <w:tc>
          <w:tcPr>
            <w:tcW w:type="dxa" w:w="4392"/>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R09 interoperability, loops, duplicates and encrypted IP transport test. No public FidoNet connection yet.</w:t>
            </w:r>
          </w:p>
        </w:tc>
      </w:tr>
      <w:tr>
        <w:trPr>
          <w:cantSplit/>
        </w:trPr>
        <w:tc>
          <w:tcPr>
            <w:tcW w:type="dxa" w:w="172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D03 Backbone and routing</w:t>
            </w:r>
          </w:p>
        </w:tc>
        <w:tc>
          <w:tcPr>
            <w:tcW w:type="dxa" w:w="352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Proposed: directional 5 GHz; triangle lab; static routed IP first</w:t>
            </w:r>
          </w:p>
        </w:tc>
        <w:tc>
          <w:tcPr>
            <w:tcW w:type="dxa" w:w="439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R17 survey and R18 throughput. Dynamic routing only after a documented need and failover tests.</w:t>
            </w:r>
          </w:p>
        </w:tc>
      </w:tr>
      <w:tr>
        <w:trPr>
          <w:cantSplit/>
        </w:trPr>
        <w:tc>
          <w:tcPr>
            <w:tcW w:type="dxa" w:w="172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D04 Radio and gateway</w:t>
            </w:r>
          </w:p>
        </w:tc>
        <w:tc>
          <w:tcPr>
            <w:tcW w:type="dxa" w:w="352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Proposed: Meshtastic short local messages; receive only adapter first</w:t>
            </w:r>
          </w:p>
        </w:tc>
        <w:tc>
          <w:tcPr>
            <w:tcW w:type="dxa" w:w="4392"/>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R11 and R13. Outbound requires load test, audience consent and emergency stop control.</w:t>
            </w:r>
          </w:p>
        </w:tc>
      </w:tr>
      <w:tr>
        <w:trPr>
          <w:cantSplit/>
        </w:trPr>
        <w:tc>
          <w:tcPr>
            <w:tcW w:type="dxa" w:w="172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D05 Reticulum and LXMF</w:t>
            </w:r>
          </w:p>
        </w:tc>
        <w:tc>
          <w:tcPr>
            <w:tcW w:type="dxa" w:w="352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Optional unvalidated integration</w:t>
            </w:r>
          </w:p>
        </w:tc>
        <w:tc>
          <w:tcPr>
            <w:tcW w:type="dxa" w:w="439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R12 independent trial with supported interfaces and identities. No shared firmware or BBS interoperability assumption.</w:t>
            </w:r>
          </w:p>
        </w:tc>
      </w:tr>
      <w:tr>
        <w:trPr>
          <w:cantSplit/>
        </w:trPr>
        <w:tc>
          <w:tcPr>
            <w:tcW w:type="dxa" w:w="172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D06 Retention and identity</w:t>
            </w:r>
          </w:p>
        </w:tc>
        <w:tc>
          <w:tcPr>
            <w:tcW w:type="dxa" w:w="3528"/>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Proposed: local accounts; 30 day logs; 7 day adapter dedup records</w:t>
            </w:r>
          </w:p>
        </w:tc>
        <w:tc>
          <w:tcPr>
            <w:tcW w:type="dxa" w:w="4392"/>
            <w:vAlign w:val="center"/>
            <w:shd w:fill="F4F6F8"/>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R02 charter approval; dedup period must exceed retry lifetime. Deletion across replicas has stated limits.</w:t>
            </w:r>
          </w:p>
        </w:tc>
      </w:tr>
      <w:tr>
        <w:trPr>
          <w:cantSplit/>
        </w:trPr>
        <w:tc>
          <w:tcPr>
            <w:tcW w:type="dxa" w:w="172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D07 Service scale</w:t>
            </w:r>
          </w:p>
        </w:tc>
        <w:tc>
          <w:tcPr>
            <w:tcW w:type="dxa" w:w="352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Proposed: three pilot hubs then waves of 3–5</w:t>
            </w:r>
          </w:p>
        </w:tc>
        <w:tc>
          <w:tcPr>
            <w:tcW w:type="dxa" w:w="439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60" w:line="245" w:lineRule="auto"/>
            </w:pPr>
            <w:r>
              <w:rPr>
                <w:b w:val="0"/>
                <w:sz w:val="18"/>
              </w:rPr>
              <w:t>G2 service evidence, host agreements, funded maintenance and next wave capacity test.</w:t>
            </w:r>
          </w:p>
        </w:tc>
      </w:tr>
    </w:tbl>
    <w:p>
      <w:pPr>
        <w:spacing w:after="20"/>
      </w:pPr>
    </w:p>
    <w:p>
      <w:pPr>
        <w:pStyle w:val="Heading2"/>
      </w:pPr>
      <w:r>
        <w:t>Risk ownership and escalation</w:t>
      </w:r>
    </w:p>
    <w:p>
      <w:r>
        <w:t>HN owns obstruction, interference, unsafe mounting, storm exposure and insufficient power: survey or relocate, reduce offered radio load, and stop unsafe service. SE owns queue loss, gateway loops, compromised keys and unsupported software: disable adapters, isolate peers, preserve evidence and restore a known good release. G owns permission gaps, moderation disputes, weak resident adoption and operator attrition: pause onboarding or expansion, resolve policy, and appoint trained backups.</w:t>
      </w:r>
    </w:p>
    <w:p>
      <w:r>
        <w:t>Any operator can stop an affected service for safety, privacy or data loss. G records impact and notifies hosts through the agreed contact tree. HN or SE identifies the technical fix; a second role verifies the retest. Service resumes only after the blocking condition is resolved and the responsible host agrees when installation or policy changed.</w:t>
      </w:r>
    </w:p>
    <w:p>
      <w:pPr>
        <w:pStyle w:val="Heading2"/>
      </w:pPr>
      <w:r>
        <w:t>Change control and storage</w:t>
      </w:r>
    </w:p>
    <w:p>
      <w:r>
        <w:t>This file is the stored Project Roadmap baseline. G maintains its authoritative copy and links it from the project’s eventual shared workspace. Save prior releases; do not overwrite accepted gate evidence. Every change records date, requestor, affected IDs, cost and schedule impact, decision, and version. The three role owners approve changes affecting interoperability, privacy, operating cost or phase scope. A shared online project location has not yet been selected.</w:t>
      </w:r>
    </w:p>
    <w:p>
      <w:r>
        <w:t>Technical basis and BOM detail are in the companion Project Proposal v1.0, issued 20 October 2026. Its references identify upstream capabilities; none demonstrate OKC field performance. Reconcile any later charter amendments through D01–D07 before freezing a revised baseline.</w:t>
      </w:r>
    </w:p>
    <w:sectPr w:rsidR="00FC693F" w:rsidRPr="0006063C" w:rsidSect="00034616">
      <w:footerReference w:type="default" r:id="rId9"/>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OKC ComunnityNet  |  Project Roadmap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OKC ComunnityNet Project Roadmap</dc:title>
  <dc:subject>Decentralized Oklahoma City neighborhood BBS federation</dc:subject>
  <dc:creator>OKC ComunnityNet</dc:creator>
  <cp:keywords/>
  <dc:description>generated by python-docx</dc:description>
  <cp:lastModifiedBy/>
  <cp:revision>1</cp:revision>
  <dcterms:created xsi:type="dcterms:W3CDTF">2013-12-23T23:15:00Z</dcterms:created>
  <dcterms:modified xsi:type="dcterms:W3CDTF">2013-12-23T23:15:00Z</dcterms:modified>
  <cp:category/>
</cp:coreProperties>
</file>