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OKC ComunnityNet</w:t>
      </w:r>
    </w:p>
    <w:p>
      <w:pPr>
        <w:pStyle w:val="Subtitle"/>
      </w:pPr>
      <w:r>
        <w:t>Project Proposal</w:t>
      </w:r>
    </w:p>
    <w:p>
      <w:r>
        <w:t>A community owned federation of neighborhood bulletin board hubs for Oklahoma City</w:t>
      </w:r>
    </w:p>
    <w:p>
      <w:r>
        <w:t>20 October 2026  |  Proposal v1.0  |  Architecture baseline v0.2 for validation</w:t>
      </w:r>
    </w:p>
    <w:p>
      <w:pPr>
        <w:pStyle w:val="Heading2"/>
      </w:pPr>
      <w:r>
        <w:t>The proposed commitment</w:t>
      </w:r>
    </w:p>
    <w:p>
      <w:r>
        <w:t>Build and evaluate three independently operated neighborhood hubs before committing to a wider network. Each hub will offer a useful local BBS even when the internet or neighboring hubs are unavailable. Hubs will exchange selected community discussions and short messages over a higher bandwidth wireless backbone, with low bandwidth radio access for concise local messaging.</w:t>
      </w:r>
    </w:p>
    <w:p>
      <w:r>
        <w:t>The ultimate goal is a durable, affordable communications commons: residents can share neighborhood information, coordinate mutual aid, learn technical skills, and communicate across Oklahoma City without depending on a single commercial platform or central server. Community organizations and resident operators should own the equipment, policies, and operating knowledge.</w:t>
      </w:r>
    </w:p>
    <w:p>
      <w:pPr>
        <w:pStyle w:val="Heading2"/>
      </w:pPr>
      <w:r>
        <w:t>What success looks like</w:t>
      </w:r>
    </w:p>
    <w:p>
      <w:r>
        <w:t>A resident can reach a nearby hub from a local WiFi network, read and post to neighborhood boards, and receive a clear queued or delivered status for federation traffic. When links return after an outage, messages converge without duplicate posts. A trained replacement operator can restore a hub from documented backups.</w:t>
      </w:r>
    </w:p>
    <w:p>
      <w:pPr>
        <w:pStyle w:val="Heading2"/>
      </w:pPr>
      <w:r>
        <w:t>Scope and decisions</w:t>
      </w:r>
    </w:p>
    <w:p>
      <w:r>
        <w:t>The initial service includes text discussions, announcements, a small resource directory, private local BBS mail, and opt in federation. Voice, video, bulk files over LoRa, guaranteed emergency communications, and blanket citywide radio coverage are outside the initial scope. No emergency service reliability claim is authorized.</w:t>
      </w:r>
    </w:p>
    <w:p>
      <w:r>
        <w:t>Authorize the discovery and three node lab phase, appoint the three role owners, and cap initial spending at the roadmap lab envelope. Field deployment and citywide expansion require separate evidence gates. All cost estimates, schedules, performance targets, topology choices, and integrations in this proposal are proposed and unvalidated unless expressly identified as documented upstream behavior.</w:t>
      </w:r>
    </w:p>
    <w:p>
      <w:r>
        <w:br w:type="page"/>
      </w:r>
    </w:p>
    <w:p>
      <w:pPr>
        <w:pStyle w:val="Heading1"/>
      </w:pPr>
      <w:r>
        <w:t>Community methods and service design</w:t>
      </w:r>
    </w:p>
    <w:p>
      <w:pPr>
        <w:pStyle w:val="Heading2"/>
      </w:pPr>
      <w:r>
        <w:t>Neighborhood ownership</w:t>
      </w:r>
    </w:p>
    <w:p>
      <w:r>
        <w:t>Each hub has a host agreement, named primary and backup operator, equipment inventory, local moderation policy, and published service expectations. The federation working group maintains shared technical standards and resolves interhub disputes. Hosts retain control over their own hubs and can leave the federation using a documented export and key revocation procedure.</w:t>
      </w:r>
    </w:p>
    <w:p>
      <w:r>
        <w:t>The generalist leads resident interviews and a plain language charter: membership, acceptable use, moderation appeals, retention, accessibility, financial stewardship, and incident reporting. The three specialists review changes together. No resident is required to publish a legal name or exact location to participate.</w:t>
      </w:r>
    </w:p>
    <w:p>
      <w:pPr>
        <w:pStyle w:val="Heading2"/>
      </w:pPr>
      <w:r>
        <w:t>The primary community hub</w:t>
      </w:r>
    </w:p>
    <w:p>
      <w:r>
        <w:t>Proposed reference build: an x86 mini PC running Debian stable, SSD storage, a local WiFi access point, and Synchronet BBS. Validate the selected supported versions and Linux build before freezing the image. Synchronet provides established BBS and message networking capabilities [S1, S2]. A Raspberry Pi with a supported 64 bit OS is the low power alternative, subject to ARM build and recovery testing; a used small form factor PC is a low cost lab alternative.</w:t>
      </w:r>
    </w:p>
    <w:p>
      <w:r>
        <w:t>Provide a text first home screen with neighborhood boards, federation boards, announcements, help, mail, and service status. Begin with a supported secure terminal access method; test a browser terminal or web front end for residents who do not use terminal software. Do not promise feature parity before usability testing. Restrict plain Telnet to an isolated lab, if needed for compatibility; do not expose it to residents or the public internet.</w:t>
      </w:r>
    </w:p>
    <w:p>
      <w:r>
        <w:t>Keep local accounts and local mail at the home hub. Public federation boards require an explicit audience notice. BBS mail is visible to hub administrators and must not be described as end to end encrypted. Private LXMF messaging is a separate opt in service with a distinct client and identity model.</w:t>
      </w:r>
    </w:p>
    <w:p>
      <w:pPr>
        <w:pStyle w:val="Heading2"/>
      </w:pPr>
      <w:r>
        <w:t>Useful during isolation</w:t>
      </w:r>
    </w:p>
    <w:p>
      <w:r>
        <w:t>Cache the local directory, help pages, and approved public board content. Keep account login, posting, local name resolution, and administration functional without cloud authentication or internet DNS. Display stale content timestamps, disconnected neighbors, queue age, and retry status. Use an Ethernet maintenance port and printed recovery instructions at every site.</w:t>
      </w:r>
    </w:p>
    <w:p>
      <w:r>
        <w:br w:type="page"/>
      </w:r>
    </w:p>
    <w:p>
      <w:pPr>
        <w:pStyle w:val="Heading1"/>
      </w:pPr>
      <w:r>
        <w:t>Architecture and protocol boundaries</w:t>
      </w:r>
    </w:p>
    <w:tbl>
      <w:tblPr>
        <w:tblW w:type="auto" w:w="0"/>
        <w:tblLayout w:type="fixed"/>
        <w:tblLook w:firstColumn="1" w:firstRow="1" w:lastColumn="0" w:lastRow="0" w:noHBand="0" w:noVBand="1" w:val="04A0"/>
      </w:tblPr>
      <w:tblGrid>
        <w:gridCol w:w="1512"/>
        <w:gridCol w:w="3888"/>
        <w:gridCol w:w="4248"/>
      </w:tblGrid>
      <w:tr>
        <w:trPr>
          <w:cantSplit/>
          <w:tblHeader/>
        </w:trPr>
        <w:tc>
          <w:tcPr>
            <w:tcW w:type="dxa" w:w="3360"/>
            <w:vAlign w:val="center"/>
            <w:shd w:fill="DCE6E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sz w:val="18"/>
              </w:rPr>
              <w:t>Layer</w:t>
            </w:r>
          </w:p>
        </w:tc>
        <w:tc>
          <w:tcPr>
            <w:tcW w:type="dxa" w:w="3360"/>
            <w:vAlign w:val="center"/>
            <w:shd w:fill="DCE6E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sz w:val="18"/>
              </w:rPr>
              <w:t>Proposed design</w:t>
            </w:r>
          </w:p>
        </w:tc>
        <w:tc>
          <w:tcPr>
            <w:tcW w:type="dxa" w:w="3360"/>
            <w:vAlign w:val="center"/>
            <w:shd w:fill="DCE6E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sz w:val="18"/>
              </w:rPr>
              <w:t>Constraint or alternative</w:t>
            </w:r>
          </w:p>
        </w:tc>
      </w:tr>
      <w:tr>
        <w:trPr>
          <w:cantSplit/>
        </w:trPr>
        <w:tc>
          <w:tcPr>
            <w:tcW w:type="dxa" w:w="1512"/>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Resident access</w:t>
            </w:r>
          </w:p>
        </w:tc>
        <w:tc>
          <w:tcPr>
            <w:tcW w:type="dxa" w:w="3888"/>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Local WiFi and Ethernet to a BBS hub</w:t>
            </w:r>
          </w:p>
        </w:tc>
        <w:tc>
          <w:tcPr>
            <w:tcW w:type="dxa" w:w="4248"/>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Coverage follows each access point; backbone radios are not resident WiFi.</w:t>
            </w:r>
          </w:p>
        </w:tc>
      </w:tr>
      <w:tr>
        <w:trPr>
          <w:cantSplit/>
        </w:trPr>
        <w:tc>
          <w:tcPr>
            <w:tcW w:type="dxa" w:w="1512"/>
            <w:vAlign w:val="center"/>
            <w:shd w:fill="F4F6F8"/>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BBS federation</w:t>
            </w:r>
          </w:p>
        </w:tc>
        <w:tc>
          <w:tcPr>
            <w:tcW w:type="dxa" w:w="3888"/>
            <w:vAlign w:val="center"/>
            <w:shd w:fill="F4F6F8"/>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FTN style echomail with a tested tosser and BinkP peer transport</w:t>
            </w:r>
          </w:p>
        </w:tc>
        <w:tc>
          <w:tcPr>
            <w:tcW w:type="dxa" w:w="4248"/>
            <w:vAlign w:val="center"/>
            <w:shd w:fill="F4F6F8"/>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Run over a protected IP path; choose one toolchain after the lab. QWK networking is an alternative to evaluate, not a second simultaneous default.</w:t>
            </w:r>
          </w:p>
        </w:tc>
      </w:tr>
      <w:tr>
        <w:trPr>
          <w:cantSplit/>
        </w:trPr>
        <w:tc>
          <w:tcPr>
            <w:tcW w:type="dxa" w:w="1512"/>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Broadband backbone</w:t>
            </w:r>
          </w:p>
        </w:tc>
        <w:tc>
          <w:tcPr>
            <w:tcW w:type="dxa" w:w="3888"/>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Directional 5 GHz point to point links joining routed IP subnets</w:t>
            </w:r>
          </w:p>
        </w:tc>
        <w:tc>
          <w:tcPr>
            <w:tcW w:type="dxa" w:w="4248"/>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Requires surveyed line of sight and Fresnel clearance. Wired or temporary internet VPN links can support early tests.</w:t>
            </w:r>
          </w:p>
        </w:tc>
      </w:tr>
      <w:tr>
        <w:trPr>
          <w:cantSplit/>
        </w:trPr>
        <w:tc>
          <w:tcPr>
            <w:tcW w:type="dxa" w:w="1512"/>
            <w:vAlign w:val="center"/>
            <w:shd w:fill="F4F6F8"/>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Local short messaging</w:t>
            </w:r>
          </w:p>
        </w:tc>
        <w:tc>
          <w:tcPr>
            <w:tcW w:type="dxa" w:w="3888"/>
            <w:vAlign w:val="center"/>
            <w:shd w:fill="F4F6F8"/>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US region Meshtastic devices using LoRa</w:t>
            </w:r>
          </w:p>
        </w:tc>
        <w:tc>
          <w:tcPr>
            <w:tcW w:type="dxa" w:w="4248"/>
            <w:vAlign w:val="center"/>
            <w:shd w:fill="F4F6F8"/>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Flooding and airtime limits constrain capacity [S3]. It does not provide a transparent IP backbone.</w:t>
            </w:r>
          </w:p>
        </w:tc>
      </w:tr>
      <w:tr>
        <w:trPr>
          <w:cantSplit/>
        </w:trPr>
        <w:tc>
          <w:tcPr>
            <w:tcW w:type="dxa" w:w="1512"/>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Optional resilient messaging</w:t>
            </w:r>
          </w:p>
        </w:tc>
        <w:tc>
          <w:tcPr>
            <w:tcW w:type="dxa" w:w="3888"/>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Reticulum transport with LXMF on IP and separately supported LoRa hardware</w:t>
            </w:r>
          </w:p>
        </w:tc>
        <w:tc>
          <w:tcPr>
            <w:tcW w:type="dxa" w:w="4248"/>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Reticulum and Meshtastic are distinct stacks. Shared LoRa spectrum does not make their firmware or packets interoperable [S6–S8].</w:t>
            </w:r>
          </w:p>
        </w:tc>
      </w:tr>
    </w:tbl>
    <w:p>
      <w:pPr>
        <w:spacing w:after="20"/>
      </w:pPr>
    </w:p>
    <w:p>
      <w:pPr>
        <w:pStyle w:val="Heading2"/>
      </w:pPr>
      <w:r>
        <w:t>Proposed data paths</w:t>
      </w:r>
    </w:p>
    <w:p>
      <w:r>
        <w:t>Resident → local hub → durable federation queue → protected IP peer link → neighboring hub → local board. A three hub triangle is the lab target so link loss and an alternate path can be tested. Start field routing with static routes; introduce Babel or OSPF only if measured operating needs justify the added complexity. A tree or chain cannot survive every hub failure.</w:t>
      </w:r>
    </w:p>
    <w:p>
      <w:r>
        <w:t>Meshtastic device → local radio → attached gateway process → an allowlisted short message board or status service. Start with receive only public test messages. Outbound radio delivery is a later gate. Acknowledgments from a radio or peer are not proof that a resident read a post.</w:t>
      </w:r>
    </w:p>
    <w:p>
      <w:pPr>
        <w:pStyle w:val="Heading2"/>
      </w:pPr>
      <w:r>
        <w:t>No automatic universal bridge</w:t>
      </w:r>
    </w:p>
    <w:p>
      <w:r>
        <w:t>Build a narrow adapter only after the protocols work independently. Use message IDs, origin tags, size limits, expiry, authentication, loop prevention, durable queues, and per sender quotas. Never mirror all BBS traffic onto LoRa. Meshtastic MQTT is an optional broker integration [S5], not a prerequisite or a store and forward guarantee. Keep public broker connections disabled in the pilot. LXMF propagation nodes support delayed delivery [S8]; that does not automatically federate BBS boards.</w:t>
      </w:r>
    </w:p>
    <w:p>
      <w:r>
        <w:br w:type="page"/>
      </w:r>
    </w:p>
    <w:p>
      <w:pPr>
        <w:pStyle w:val="Heading1"/>
      </w:pPr>
      <w:r>
        <w:t>Addressing resilience and privacy</w:t>
      </w:r>
    </w:p>
    <w:p>
      <w:pPr>
        <w:pStyle w:val="Heading2"/>
      </w:pPr>
      <w:r>
        <w:t>Names and routing</w:t>
      </w:r>
    </w:p>
    <w:p>
      <w:r>
        <w:t>Proposed hub IDs are OKC001 through OKC003 in the lab; the generalist maintains a replicated registry and a process for allocation and retirement. These are project labels, not assigned FidoNet addresses. Use an isolated private FTN namespace if selected; obtain legitimate assignments before connecting to public FidoNet. Preserve FTN message IDs and seen by or path semantics through the tested tosser.</w:t>
      </w:r>
    </w:p>
    <w:p>
      <w:r>
        <w:t>Reserve a nonoverlapping private IP block only after checking hosts and VPNs for collisions. Give every hub a routed subnet and stable management addresses. A provisional lab block such as 10.77.0.0/16 may be used after that check. Use owned DNS names for production with locally served records and an offline IP fallback. Map friendly hub names to transport addresses; never infer a person’s identity from a radio node ID. Reticulum destination identities remain separate from BBS accounts [S6].</w:t>
      </w:r>
    </w:p>
    <w:p>
      <w:pPr>
        <w:pStyle w:val="Heading2"/>
      </w:pPr>
      <w:r>
        <w:t>Durable delivery and failure behavior</w:t>
      </w:r>
    </w:p>
    <w:p>
      <w:r>
        <w:t>Proposed adapter envelope: protocol version, immutable origin and message ID, destination or board, creation time, expiry, hop budget, payload length, and signature where supported. Record an incoming message durably before acknowledging it. Persist outgoing state across restart, deduplicate by origin plus ID, quarantine malformed packets, and retain an audit trail of gateway transformations. Test clock skew and use monotonic retry timers where possible.</w:t>
      </w:r>
    </w:p>
    <w:p>
      <w:r>
        <w:t>Start adapter queues at 100 MB per hub, a 72 hour retry lifetime, exponential backoff, and reserved capacity for operator notices. These are test settings. BBS expiry and retry behavior must be configured separately in the selected toolchain. Expired messages get a visible failure status; no silent deletion. Enforce attachment limits and per peer quotas so a disconnected neighbor cannot fill the SSD.</w:t>
      </w:r>
    </w:p>
    <w:p>
      <w:r>
        <w:t>Use loop free routed IP paths rather than a citywide bridged Ethernet segment. On backbone loss, local hubs continue to work and store outbound messages. A secondary link can restore a route only if both endpoints and independent power remain available. Back up configuration, keys, account data, message stores, and queues; test a coherent restore before claiming recoverability.</w:t>
      </w:r>
    </w:p>
    <w:p>
      <w:pPr>
        <w:pStyle w:val="Heading2"/>
      </w:pPr>
      <w:r>
        <w:t>Trust and information handling</w:t>
      </w:r>
    </w:p>
    <w:p>
      <w:r>
        <w:t>Segment resident, server, radio gateway, and management networks. Allow only required peer services through the firewall. Protect interhub IP traffic with authenticated encryption such as WireGuard after testing offline operation and key rotation; BinkP itself is not assumed to provide transport confidentiality. Use unique administrator keys and least privilege services. Encrypt backups and restrict operator access.</w:t>
      </w:r>
    </w:p>
    <w:p>
      <w:r>
        <w:t>Shared channel keys and default public channel settings are not a basis for confidential group communications [S4]. Disable automatic location and telemetry sharing unless users knowingly opt in. Gateways can terminate encryption and expose content. Proposed retention is 30 days for operational logs and 7 days for gateway deduplication records; the charter must approve exceptions, public board retention, deletion limits across replicas, and incident procedures before real resident traffic.</w:t>
      </w:r>
    </w:p>
    <w:p>
      <w:r>
        <w:br w:type="page"/>
      </w:r>
    </w:p>
    <w:p>
      <w:pPr>
        <w:pStyle w:val="Heading1"/>
      </w:pPr>
      <w:r>
        <w:t>Hardware investment and physical constraints</w:t>
      </w:r>
    </w:p>
    <w:p>
      <w:r>
        <w:t>Planning allowances in USD as of 20 October 2026, not vendor quotations. Quantities below are per complete hub. Prices vary; reprice delivered US region equipment before purchase. Reuse safe equipment where practical. A radio link needs a compatible device at each end, with the correct PoE supply.</w:t>
      </w:r>
    </w:p>
    <w:tbl>
      <w:tblPr>
        <w:tblW w:type="auto" w:w="0"/>
        <w:tblLayout w:type="fixed"/>
        <w:tblLook w:firstColumn="1" w:firstRow="1" w:lastColumn="0" w:lastRow="0" w:noHBand="0" w:noVBand="1" w:val="04A0"/>
      </w:tblPr>
      <w:tblGrid>
        <w:gridCol w:w="3096"/>
        <w:gridCol w:w="2160"/>
        <w:gridCol w:w="2160"/>
        <w:gridCol w:w="2232"/>
      </w:tblGrid>
      <w:tr>
        <w:trPr>
          <w:cantSplit/>
          <w:tblHeader/>
        </w:trPr>
        <w:tc>
          <w:tcPr>
            <w:tcW w:type="dxa" w:w="2520"/>
            <w:vAlign w:val="center"/>
            <w:shd w:fill="DCE6E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sz w:val="18"/>
              </w:rPr>
              <w:t>Component</w:t>
            </w:r>
          </w:p>
        </w:tc>
        <w:tc>
          <w:tcPr>
            <w:tcW w:type="dxa" w:w="2520"/>
            <w:vAlign w:val="center"/>
            <w:shd w:fill="DCE6E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sz w:val="18"/>
              </w:rPr>
              <w:t>Lab hub</w:t>
            </w:r>
          </w:p>
        </w:tc>
        <w:tc>
          <w:tcPr>
            <w:tcW w:type="dxa" w:w="2520"/>
            <w:vAlign w:val="center"/>
            <w:shd w:fill="DCE6E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sz w:val="18"/>
              </w:rPr>
              <w:t>Field hub</w:t>
            </w:r>
          </w:p>
        </w:tc>
        <w:tc>
          <w:tcPr>
            <w:tcW w:type="dxa" w:w="2520"/>
            <w:vAlign w:val="center"/>
            <w:shd w:fill="DCE6E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sz w:val="18"/>
              </w:rPr>
              <w:t>Resilient hub</w:t>
            </w:r>
          </w:p>
        </w:tc>
      </w:tr>
      <w:tr>
        <w:trPr>
          <w:cantSplit/>
        </w:trPr>
        <w:tc>
          <w:tcPr>
            <w:tcW w:type="dxa" w:w="3096"/>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Compute with SSD</w:t>
            </w:r>
          </w:p>
        </w:tc>
        <w:tc>
          <w:tcPr>
            <w:tcW w:type="dxa" w:w="2160"/>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1 used x86 or SBC kit $130–250</w:t>
            </w:r>
          </w:p>
        </w:tc>
        <w:tc>
          <w:tcPr>
            <w:tcW w:type="dxa" w:w="2160"/>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1 supported x86 or SBC kit $180–350</w:t>
            </w:r>
          </w:p>
        </w:tc>
        <w:tc>
          <w:tcPr>
            <w:tcW w:type="dxa" w:w="2232"/>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1 serviceable x86 kit $250–450</w:t>
            </w:r>
          </w:p>
        </w:tc>
      </w:tr>
      <w:tr>
        <w:trPr>
          <w:cantSplit/>
        </w:trPr>
        <w:tc>
          <w:tcPr>
            <w:tcW w:type="dxa" w:w="3096"/>
            <w:vAlign w:val="center"/>
            <w:shd w:fill="F4F6F8"/>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Router and local WiFi</w:t>
            </w:r>
          </w:p>
        </w:tc>
        <w:tc>
          <w:tcPr>
            <w:tcW w:type="dxa" w:w="2160"/>
            <w:vAlign w:val="center"/>
            <w:shd w:fill="F4F6F8"/>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1 set $60–120</w:t>
            </w:r>
          </w:p>
        </w:tc>
        <w:tc>
          <w:tcPr>
            <w:tcW w:type="dxa" w:w="2160"/>
            <w:vAlign w:val="center"/>
            <w:shd w:fill="F4F6F8"/>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1 set $100–180</w:t>
            </w:r>
          </w:p>
        </w:tc>
        <w:tc>
          <w:tcPr>
            <w:tcW w:type="dxa" w:w="2232"/>
            <w:vAlign w:val="center"/>
            <w:shd w:fill="F4F6F8"/>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1 managed set $150–250</w:t>
            </w:r>
          </w:p>
        </w:tc>
      </w:tr>
      <w:tr>
        <w:trPr>
          <w:cantSplit/>
        </w:trPr>
        <w:tc>
          <w:tcPr>
            <w:tcW w:type="dxa" w:w="3096"/>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Meshtastic radio and antenna</w:t>
            </w:r>
          </w:p>
        </w:tc>
        <w:tc>
          <w:tcPr>
            <w:tcW w:type="dxa" w:w="2160"/>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1 set $40–90</w:t>
            </w:r>
          </w:p>
        </w:tc>
        <w:tc>
          <w:tcPr>
            <w:tcW w:type="dxa" w:w="2160"/>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1 enclosed set $60–120</w:t>
            </w:r>
          </w:p>
        </w:tc>
        <w:tc>
          <w:tcPr>
            <w:tcW w:type="dxa" w:w="2232"/>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1 enclosed set $80–150</w:t>
            </w:r>
          </w:p>
        </w:tc>
      </w:tr>
      <w:tr>
        <w:trPr>
          <w:cantSplit/>
        </w:trPr>
        <w:tc>
          <w:tcPr>
            <w:tcW w:type="dxa" w:w="3096"/>
            <w:vAlign w:val="center"/>
            <w:shd w:fill="F4F6F8"/>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Directional backbone radios</w:t>
            </w:r>
          </w:p>
        </w:tc>
        <w:tc>
          <w:tcPr>
            <w:tcW w:type="dxa" w:w="2160"/>
            <w:vAlign w:val="center"/>
            <w:shd w:fill="F4F6F8"/>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2 × $60–100 = $120–200</w:t>
            </w:r>
          </w:p>
        </w:tc>
        <w:tc>
          <w:tcPr>
            <w:tcW w:type="dxa" w:w="2160"/>
            <w:vAlign w:val="center"/>
            <w:shd w:fill="F4F6F8"/>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2 × $80–150 = $160–300</w:t>
            </w:r>
          </w:p>
        </w:tc>
        <w:tc>
          <w:tcPr>
            <w:tcW w:type="dxa" w:w="2232"/>
            <w:vAlign w:val="center"/>
            <w:shd w:fill="F4F6F8"/>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2 × $120–200 = $240–400</w:t>
            </w:r>
          </w:p>
        </w:tc>
      </w:tr>
      <w:tr>
        <w:trPr>
          <w:cantSplit/>
        </w:trPr>
        <w:tc>
          <w:tcPr>
            <w:tcW w:type="dxa" w:w="3096"/>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Power and backup</w:t>
            </w:r>
          </w:p>
        </w:tc>
        <w:tc>
          <w:tcPr>
            <w:tcW w:type="dxa" w:w="2160"/>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1 UPS set $70–130</w:t>
            </w:r>
          </w:p>
        </w:tc>
        <w:tc>
          <w:tcPr>
            <w:tcW w:type="dxa" w:w="2160"/>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1 UPS set $120–250</w:t>
            </w:r>
          </w:p>
        </w:tc>
        <w:tc>
          <w:tcPr>
            <w:tcW w:type="dxa" w:w="2232"/>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1 sized DC backup set $250–500</w:t>
            </w:r>
          </w:p>
        </w:tc>
      </w:tr>
      <w:tr>
        <w:trPr>
          <w:cantSplit/>
        </w:trPr>
        <w:tc>
          <w:tcPr>
            <w:tcW w:type="dxa" w:w="3096"/>
            <w:vAlign w:val="center"/>
            <w:shd w:fill="F4F6F8"/>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Cable PoE enclosure mounts protection</w:t>
            </w:r>
          </w:p>
        </w:tc>
        <w:tc>
          <w:tcPr>
            <w:tcW w:type="dxa" w:w="2160"/>
            <w:vAlign w:val="center"/>
            <w:shd w:fill="F4F6F8"/>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1 lot $60–120</w:t>
            </w:r>
          </w:p>
        </w:tc>
        <w:tc>
          <w:tcPr>
            <w:tcW w:type="dxa" w:w="2160"/>
            <w:vAlign w:val="center"/>
            <w:shd w:fill="F4F6F8"/>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1 outdoor lot $200–400</w:t>
            </w:r>
          </w:p>
        </w:tc>
        <w:tc>
          <w:tcPr>
            <w:tcW w:type="dxa" w:w="2232"/>
            <w:vAlign w:val="center"/>
            <w:shd w:fill="F4F6F8"/>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1 hardened lot $300–600</w:t>
            </w:r>
          </w:p>
        </w:tc>
      </w:tr>
      <w:tr>
        <w:trPr>
          <w:cantSplit/>
        </w:trPr>
        <w:tc>
          <w:tcPr>
            <w:tcW w:type="dxa" w:w="3096"/>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Per hub subtotal</w:t>
            </w:r>
          </w:p>
        </w:tc>
        <w:tc>
          <w:tcPr>
            <w:tcW w:type="dxa" w:w="2160"/>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$480–910</w:t>
            </w:r>
          </w:p>
        </w:tc>
        <w:tc>
          <w:tcPr>
            <w:tcW w:type="dxa" w:w="2160"/>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$820–1,600</w:t>
            </w:r>
          </w:p>
        </w:tc>
        <w:tc>
          <w:tcPr>
            <w:tcW w:type="dxa" w:w="2232"/>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$1,270–2,350</w:t>
            </w:r>
          </w:p>
        </w:tc>
      </w:tr>
    </w:tbl>
    <w:p>
      <w:pPr>
        <w:spacing w:after="20"/>
      </w:pPr>
    </w:p>
    <w:p>
      <w:r>
        <w:t>Two radios per hub support a three link triangle using six radios total. Budget for actual PoE voltage, grounding hardware, cable length, enclosure heat, and spare connectors. Example radio family: NanoStation 5AC Loco [S9]; model selection is not a purchase recommendation before link surveys. Pi prices have changed recently [S10], so a complete kit must be compared with a used x86 system.</w:t>
      </w:r>
    </w:p>
    <w:p>
      <w:pPr>
        <w:pStyle w:val="Heading2"/>
      </w:pPr>
      <w:r>
        <w:t>Phase envelopes</w:t>
      </w:r>
    </w:p>
    <w:p>
      <w:r>
        <w:t>Three lab hubs: $1,440–2,730 equipment plus $150–300 shared spares, then 20% contingency = $1,908–3,636. Three field hubs: $2,460–4,800 plus $300–600 shared spares, then 20% = $3,312–6,480. These are alternative complete build envelopes, not automatically additive; credit reusable lab equipment. Optional Reticulum LoRa trial: add three compatible radio sets at $80–180 each, or $240–540 before contingency. Do not double count shared radios unless firmware switching is explicitly tested and operationally acceptable.</w:t>
      </w:r>
    </w:p>
    <w:p>
      <w:r>
        <w:t>Excluded: volunteer or paid labor, roof access, professional mounting, permits, major mast work, insurance, solar, internet subscriptions, tax, shipping, and site rental. Citywide cost cannot be estimated from node count alone: survey each link and site. Proposed operating reserve per hub is $10–30 monthly excluding site charges and connectivity; meter actual power and obtain replacement quotes during the pilot.</w:t>
      </w:r>
    </w:p>
    <w:p>
      <w:pPr>
        <w:pStyle w:val="Heading2"/>
      </w:pPr>
      <w:r>
        <w:t>Power and siting</w:t>
      </w:r>
    </w:p>
    <w:p>
      <w:r>
        <w:t>Size backup from measured total watts. For a 25 W hub over eight hours, 200 Wh must reach the load; at 80% usable delivery allow at least 250 Wh nominal, then account for aging and temperature. This is an example, not an equipment runtime claim. Oklahoma heat, wind, lightning, trees, roof loading, and safe access require site assessment. Use certified equipment within authorized US settings and approved antenna combinations; confirm applicable Part 15 requirements before deployment [S11].</w:t>
      </w:r>
    </w:p>
    <w:p>
      <w:r>
        <w:br w:type="page"/>
      </w:r>
    </w:p>
    <w:p>
      <w:pPr>
        <w:pStyle w:val="Heading1"/>
      </w:pPr>
      <w:r>
        <w:t>Delivery decisions and evidence</w:t>
      </w:r>
    </w:p>
    <w:tbl>
      <w:tblPr>
        <w:tblW w:type="auto" w:w="0"/>
        <w:tblLayout w:type="fixed"/>
        <w:tblLook w:firstColumn="1" w:firstRow="1" w:lastColumn="0" w:lastRow="0" w:noHBand="0" w:noVBand="1" w:val="04A0"/>
      </w:tblPr>
      <w:tblGrid>
        <w:gridCol w:w="2016"/>
        <w:gridCol w:w="5112"/>
        <w:gridCol w:w="2520"/>
      </w:tblGrid>
      <w:tr>
        <w:trPr>
          <w:cantSplit/>
          <w:tblHeader/>
        </w:trPr>
        <w:tc>
          <w:tcPr>
            <w:tcW w:type="dxa" w:w="3360"/>
            <w:vAlign w:val="center"/>
            <w:shd w:fill="DCE6E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sz w:val="18"/>
              </w:rPr>
              <w:t>Phase</w:t>
            </w:r>
          </w:p>
        </w:tc>
        <w:tc>
          <w:tcPr>
            <w:tcW w:type="dxa" w:w="3360"/>
            <w:vAlign w:val="center"/>
            <w:shd w:fill="DCE6E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sz w:val="18"/>
              </w:rPr>
              <w:t>Exit evidence</w:t>
            </w:r>
          </w:p>
        </w:tc>
        <w:tc>
          <w:tcPr>
            <w:tcW w:type="dxa" w:w="3360"/>
            <w:vAlign w:val="center"/>
            <w:shd w:fill="DCE6E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sz w:val="18"/>
              </w:rPr>
              <w:t>Decision</w:t>
            </w:r>
          </w:p>
        </w:tc>
      </w:tr>
      <w:tr>
        <w:trPr>
          <w:cantSplit/>
        </w:trPr>
        <w:tc>
          <w:tcPr>
            <w:tcW w:type="dxa" w:w="2016"/>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Discovery and design</w:t>
              <w:br/>
              <w:t>Weeks 1–2</w:t>
            </w:r>
          </w:p>
        </w:tc>
        <w:tc>
          <w:tcPr>
            <w:tcW w:type="dxa" w:w="5112"/>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Charter draft, three candidate sites, reproducible lab plan, BOM quotes, threat model</w:t>
            </w:r>
          </w:p>
        </w:tc>
        <w:tc>
          <w:tcPr>
            <w:tcW w:type="dxa" w:w="2520"/>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Agree scope and lab spending cap.</w:t>
            </w:r>
          </w:p>
        </w:tc>
      </w:tr>
      <w:tr>
        <w:trPr>
          <w:cantSplit/>
        </w:trPr>
        <w:tc>
          <w:tcPr>
            <w:tcW w:type="dxa" w:w="2016"/>
            <w:vAlign w:val="center"/>
            <w:shd w:fill="F4F6F8"/>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Three node lab</w:t>
              <w:br/>
              <w:t>Weeks 3–14</w:t>
            </w:r>
          </w:p>
        </w:tc>
        <w:tc>
          <w:tcPr>
            <w:tcW w:type="dxa" w:w="5112"/>
            <w:vAlign w:val="center"/>
            <w:shd w:fill="F4F6F8"/>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Local service offline; convergence, restart, link failure, gateway and backup tests pass</w:t>
            </w:r>
          </w:p>
        </w:tc>
        <w:tc>
          <w:tcPr>
            <w:tcW w:type="dxa" w:w="2520"/>
            <w:vAlign w:val="center"/>
            <w:shd w:fill="F4F6F8"/>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Select supported stack; approve field deployment only after gate G1.</w:t>
            </w:r>
          </w:p>
        </w:tc>
      </w:tr>
      <w:tr>
        <w:trPr>
          <w:cantSplit/>
        </w:trPr>
        <w:tc>
          <w:tcPr>
            <w:tcW w:type="dxa" w:w="2016"/>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Field pilot</w:t>
              <w:br/>
              <w:t>Weeks 15–26</w:t>
            </w:r>
          </w:p>
        </w:tc>
        <w:tc>
          <w:tcPr>
            <w:tcW w:type="dxa" w:w="5112"/>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Three permissioned sites; 30 consecutive days measured service; resident usability and restore drill</w:t>
            </w:r>
          </w:p>
        </w:tc>
        <w:tc>
          <w:tcPr>
            <w:tcW w:type="dxa" w:w="2520"/>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Review G2 with all owners and host representatives.</w:t>
            </w:r>
          </w:p>
        </w:tc>
      </w:tr>
      <w:tr>
        <w:trPr>
          <w:cantSplit/>
        </w:trPr>
        <w:tc>
          <w:tcPr>
            <w:tcW w:type="dxa" w:w="2016"/>
            <w:vAlign w:val="center"/>
            <w:shd w:fill="F4F6F8"/>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Expansion waves</w:t>
              <w:br/>
              <w:t>Month 7 onward</w:t>
            </w:r>
          </w:p>
        </w:tc>
        <w:tc>
          <w:tcPr>
            <w:tcW w:type="dxa" w:w="5112"/>
            <w:vAlign w:val="center"/>
            <w:shd w:fill="F4F6F8"/>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Each wave has site surveys, funded maintenance, trained backup operators and rollback plan</w:t>
            </w:r>
          </w:p>
        </w:tc>
        <w:tc>
          <w:tcPr>
            <w:tcW w:type="dxa" w:w="2520"/>
            <w:vAlign w:val="center"/>
            <w:shd w:fill="F4F6F8"/>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Expand by readiness, not by an assumed coverage radius.</w:t>
            </w:r>
          </w:p>
        </w:tc>
      </w:tr>
    </w:tbl>
    <w:p>
      <w:pPr>
        <w:spacing w:after="20"/>
      </w:pPr>
    </w:p>
    <w:p>
      <w:pPr>
        <w:pStyle w:val="Heading2"/>
      </w:pPr>
      <w:r>
        <w:t>Principal risks and responses</w:t>
      </w:r>
    </w:p>
    <w:p>
      <w:r>
        <w:t>RF obstruction or interference: survey each path, measure performance, retain a wired or alternate site option. Radio congestion: measure airtime, cap short message rates, and stop outbound bridges if saturated. Protocol incompatibility: pin tested versions, retain fixtures, and keep a working BBS only baseline. Volunteer attrition: train a backup and test handover. Abuse and metadata leakage: moderation, rate limits, consent, and gateway allowlists. Theft or storm damage: protected installation, inventories, backups, and funded replacements. Funding and permissions: no field purchase until host agreements and full installation costs are known.</w:t>
      </w:r>
    </w:p>
    <w:p>
      <w:pPr>
        <w:pStyle w:val="Heading2"/>
      </w:pPr>
      <w:r>
        <w:t>Approval and document control</w:t>
      </w:r>
    </w:p>
    <w:p>
      <w:r>
        <w:t>The companion Project Roadmap is the operational baseline and contains task IDs, owners, dependencies, acceptance tests, and change control. No gate has passed at issuance. The proposal seeks approval to begin discovery and the lab; it records no purchase authorization, site permission, or performance certification. Owners update evidence and decision records before changing the architecture baseline.</w:t>
      </w:r>
    </w:p>
    <w:p>
      <w:r>
        <w:br w:type="page"/>
      </w:r>
    </w:p>
    <w:p>
      <w:pPr>
        <w:pStyle w:val="Heading1"/>
      </w:pPr>
      <w:r>
        <w:t>Technical references</w:t>
      </w:r>
    </w:p>
    <w:p>
      <w:r>
        <w:t>Official project and manufacturer references checked 20 October 2026. Upstream documentation supports product capabilities, not the untested integration, local coverage, budgets, or performance targets proposed here.</w:t>
      </w:r>
    </w:p>
    <w:p>
      <w:pPr>
        <w:spacing w:after="80"/>
      </w:pPr>
      <w:r>
        <w:rPr>
          <w:sz w:val="16"/>
        </w:rPr>
        <w:t>S1  Synchronet documentation</w:t>
        <w:br/>
        <w:t>https://synchro.net/docs/index.htm</w:t>
      </w:r>
    </w:p>
    <w:p>
      <w:pPr>
        <w:spacing w:after="80"/>
      </w:pPr>
      <w:r>
        <w:rPr>
          <w:sz w:val="16"/>
        </w:rPr>
        <w:t>S2  Synchronet FidoNet configuration</w:t>
        <w:br/>
        <w:t>https://wiki.synchro.net/howto:fidonet</w:t>
      </w:r>
    </w:p>
    <w:p>
      <w:pPr>
        <w:spacing w:after="80"/>
      </w:pPr>
      <w:r>
        <w:rPr>
          <w:sz w:val="16"/>
        </w:rPr>
        <w:t>S3  Meshtastic mesh algorithm</w:t>
        <w:br/>
        <w:t>https://meshtastic.org/docs/overview/mesh-algo/</w:t>
      </w:r>
    </w:p>
    <w:p>
      <w:pPr>
        <w:spacing w:after="80"/>
      </w:pPr>
      <w:r>
        <w:rPr>
          <w:sz w:val="16"/>
        </w:rPr>
        <w:t>S4  Meshtastic encryption</w:t>
        <w:br/>
        <w:t>https://meshtastic.org/docs/overview/encryption/</w:t>
      </w:r>
    </w:p>
    <w:p>
      <w:pPr>
        <w:spacing w:after="80"/>
      </w:pPr>
      <w:r>
        <w:rPr>
          <w:sz w:val="16"/>
        </w:rPr>
        <w:t>S5  Meshtastic MQTT integration</w:t>
        <w:br/>
        <w:t>https://meshtastic.org/docs/software/integrations/mqtt/</w:t>
      </w:r>
    </w:p>
    <w:p>
      <w:pPr>
        <w:spacing w:after="80"/>
      </w:pPr>
      <w:r>
        <w:rPr>
          <w:sz w:val="16"/>
        </w:rPr>
        <w:t>S6  Reticulum network design</w:t>
        <w:br/>
        <w:t>https://reticulum.network/manual/networks.html</w:t>
      </w:r>
    </w:p>
    <w:p>
      <w:pPr>
        <w:spacing w:after="80"/>
      </w:pPr>
      <w:r>
        <w:rPr>
          <w:sz w:val="16"/>
        </w:rPr>
        <w:t>S7  Reticulum interfaces</w:t>
        <w:br/>
        <w:t>https://reticulum.network/manual/interfaces.html</w:t>
      </w:r>
    </w:p>
    <w:p>
      <w:pPr>
        <w:spacing w:after="80"/>
      </w:pPr>
      <w:r>
        <w:rPr>
          <w:sz w:val="16"/>
        </w:rPr>
        <w:t>S8  LXMF project documentation</w:t>
        <w:br/>
        <w:t>https://github.com/markqvist/LXMF</w:t>
      </w:r>
    </w:p>
    <w:p>
      <w:pPr>
        <w:spacing w:after="80"/>
      </w:pPr>
      <w:r>
        <w:rPr>
          <w:sz w:val="16"/>
        </w:rPr>
        <w:t>S9  Ubiquiti NanoStation 5AC Loco</w:t>
        <w:br/>
        <w:t>https://store.ui.com/us/en/products/loco5ac</w:t>
      </w:r>
    </w:p>
    <w:p>
      <w:pPr>
        <w:spacing w:after="80"/>
      </w:pPr>
      <w:r>
        <w:rPr>
          <w:sz w:val="16"/>
        </w:rPr>
        <w:t>S10  Raspberry Pi current price changes</w:t>
        <w:br/>
        <w:t>https://www.raspberrypi.com/news/price-increases-for-2gb-raspberry-pi-4-and-raspberry-pi-5/</w:t>
      </w:r>
    </w:p>
    <w:p>
      <w:pPr>
        <w:spacing w:after="80"/>
      </w:pPr>
      <w:r>
        <w:rPr>
          <w:sz w:val="16"/>
        </w:rPr>
        <w:t>S11  FCC Part 15 current official rules</w:t>
        <w:br/>
        <w:t>https://www.ecfr.gov/current/title-47/chapter-I/subchapter-A/part-15</w:t>
      </w:r>
    </w:p>
    <w:sectPr w:rsidR="00FC693F" w:rsidRPr="0006063C" w:rsidSect="00034616">
      <w:footerReference w:type="default" r:id="rId9"/>
      <w:pgSz w:w="12240" w:h="15840"/>
      <w:pgMar w:top="1008"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OKC ComunnityNet  |  Project Proposal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Calibri" w:hAnsi="Calibri"/>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0000"/>
      <w:sz w:val="3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5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OKC ComunnityNet Project Proposal</dc:title>
  <dc:subject>Decentralized Oklahoma City neighborhood BBS federation</dc:subject>
  <dc:creator>OKC ComunnityNet</dc:creator>
  <cp:keywords/>
  <dc:description>generated by python-docx</dc:description>
  <cp:lastModifiedBy/>
  <cp:revision>1</cp:revision>
  <dcterms:created xsi:type="dcterms:W3CDTF">2013-12-23T23:15:00Z</dcterms:created>
  <dcterms:modified xsi:type="dcterms:W3CDTF">2013-12-23T23:15:00Z</dcterms:modified>
  <cp:category/>
</cp:coreProperties>
</file>